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广播电视台</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广播电视台</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广播电视台</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景德镇市广播电视台</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广播电视台</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景德镇市广播电视台</w:t>
      </w:r>
      <w:r>
        <w:rPr>
          <w:rFonts w:hint="eastAsia" w:ascii="仿宋_GB2312" w:hAnsi="宋体" w:eastAsia="仿宋_GB2312" w:cs="仿宋_GB2312"/>
          <w:sz w:val="32"/>
          <w:szCs w:val="32"/>
        </w:rPr>
        <w:t>是主管工作的市政府（市委）组成部门（直属机构），主要职责是：</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宣传党的路线方针和政策，把握正确舆论导向；传播科学文化知识，传递社会经济信息，活跃群众文化生活；坚守宣传阵地，抓好安全播出，完成市委、市政府下达的各项工作任务。</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制定并组织实施全台广播电视事业和产业发展规划，促进广播电视发展；加快数字化步伐，推动信息化进程；负责广播电视新技术、科技成果的应用工作。</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贯彻广播电视行业法规，按照上级规定要求，抓好内部管理，确保事业发展、产业经营等工作规范有序进行。</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负责三套电视节目和两套广播节目的制作、播出，以及景视网站和广播电视报的经营管理；负责广播电视新媒体的开发、拓展和运营，推进事业发展。</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转播和传输中央电视台、江西电视台和中央人民广播电台、江西人民广播电台第一套节目，以及上级要求的其他节目；抓好广播电视无线覆盖，负责对省广播电视网络传输有限公司的工作协调，承接地方权益，保证全台广播电视节目采编、制作、播出、传输全流程的完整统一和安全高效。</w:t>
      </w:r>
    </w:p>
    <w:p>
      <w:pPr>
        <w:keepNext w:val="0"/>
        <w:keepLines w:val="0"/>
        <w:widowControl w:val="0"/>
        <w:numPr>
          <w:ilvl w:val="0"/>
          <w:numId w:val="1"/>
        </w:numPr>
        <w:suppressLineNumbers w:val="0"/>
        <w:spacing w:before="0" w:beforeAutospacing="0" w:after="0" w:afterAutospacing="0"/>
        <w:ind w:left="0" w:right="0" w:firstLine="640" w:firstLineChars="200"/>
        <w:jc w:val="both"/>
        <w:rPr>
          <w:rFonts w:hint="eastAsia" w:eastAsia="仿宋_GB2312" w:cs="仿宋_GB2312" w:asciiTheme="minorEastAsia" w:hAnsiTheme="minorEastAsia"/>
          <w:sz w:val="32"/>
          <w:szCs w:val="32"/>
          <w:lang w:val="en-US"/>
        </w:rPr>
      </w:pPr>
      <w:r>
        <w:rPr>
          <w:rFonts w:hint="eastAsia" w:eastAsia="仿宋_GB2312" w:cs="仿宋_GB2312" w:asciiTheme="minorEastAsia" w:hAnsiTheme="minorEastAsia"/>
          <w:kern w:val="2"/>
          <w:sz w:val="32"/>
          <w:szCs w:val="32"/>
          <w:lang w:val="en-US" w:eastAsia="zh-CN" w:bidi="ar"/>
        </w:rPr>
        <w:t>拓宽创收渠道，搞好广告、产业开发等经营创收工作；管好、用好财政拨款，经营创收（含新媒体）等各类资金，为做大做强我市广播电视事业、产业提供财力支持和经费保障。</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widowControl/>
        <w:ind w:firstLine="640" w:firstLineChars="200"/>
        <w:jc w:val="left"/>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bCs/>
          <w:color w:val="000000"/>
          <w:kern w:val="0"/>
          <w:sz w:val="32"/>
          <w:szCs w:val="32"/>
          <w:lang w:eastAsia="zh-CN"/>
        </w:rPr>
        <w:t>本部门景德镇市广播电视台</w:t>
      </w:r>
      <w:r>
        <w:rPr>
          <w:rFonts w:hint="eastAsia" w:ascii="仿宋_GB2312" w:hAnsi="仿宋_GB2312" w:eastAsia="仿宋_GB2312" w:cs="仿宋_GB2312"/>
          <w:bCs/>
          <w:color w:val="000000"/>
          <w:kern w:val="0"/>
          <w:sz w:val="32"/>
          <w:szCs w:val="32"/>
        </w:rPr>
        <w:t>共有预算单位1个，即部门本级。</w:t>
      </w:r>
      <w:r>
        <w:rPr>
          <w:rFonts w:hint="eastAsia" w:ascii="仿宋_GB2312" w:hAnsi="仿宋_GB2312" w:eastAsia="仿宋_GB2312" w:cs="仿宋_GB2312"/>
          <w:bCs/>
          <w:color w:val="000000"/>
          <w:kern w:val="0"/>
          <w:sz w:val="32"/>
          <w:szCs w:val="32"/>
          <w:lang w:eastAsia="zh-CN"/>
        </w:rPr>
        <w:t>人员</w:t>
      </w:r>
      <w:r>
        <w:rPr>
          <w:rFonts w:hint="eastAsia" w:ascii="仿宋_GB2312" w:hAnsi="仿宋_GB2312" w:eastAsia="仿宋_GB2312" w:cs="仿宋_GB2312"/>
          <w:bCs/>
          <w:color w:val="000000"/>
          <w:kern w:val="0"/>
          <w:sz w:val="32"/>
          <w:szCs w:val="32"/>
        </w:rPr>
        <w:t>编制数为1</w:t>
      </w:r>
      <w:r>
        <w:rPr>
          <w:rFonts w:hint="eastAsia" w:ascii="仿宋_GB2312" w:hAnsi="仿宋_GB2312" w:eastAsia="仿宋_GB2312" w:cs="仿宋_GB2312"/>
          <w:bCs/>
          <w:color w:val="000000"/>
          <w:kern w:val="0"/>
          <w:sz w:val="32"/>
          <w:szCs w:val="32"/>
          <w:lang w:val="en-US" w:eastAsia="zh-CN"/>
        </w:rPr>
        <w:t>13</w:t>
      </w:r>
      <w:r>
        <w:rPr>
          <w:rFonts w:hint="eastAsia" w:ascii="仿宋_GB2312" w:hAnsi="仿宋_GB2312" w:eastAsia="仿宋_GB2312" w:cs="仿宋_GB2312"/>
          <w:bCs/>
          <w:color w:val="000000"/>
          <w:kern w:val="0"/>
          <w:sz w:val="32"/>
          <w:szCs w:val="32"/>
        </w:rPr>
        <w:t>人，其中部分补助事业编制1</w:t>
      </w:r>
      <w:r>
        <w:rPr>
          <w:rFonts w:hint="eastAsia" w:ascii="仿宋_GB2312" w:hAnsi="仿宋_GB2312" w:eastAsia="仿宋_GB2312" w:cs="仿宋_GB2312"/>
          <w:bCs/>
          <w:color w:val="000000"/>
          <w:kern w:val="0"/>
          <w:sz w:val="32"/>
          <w:szCs w:val="32"/>
          <w:lang w:val="en-US" w:eastAsia="zh-CN"/>
        </w:rPr>
        <w:t>13</w:t>
      </w:r>
      <w:r>
        <w:rPr>
          <w:rFonts w:hint="eastAsia" w:ascii="仿宋_GB2312" w:hAnsi="仿宋_GB2312" w:eastAsia="仿宋_GB2312" w:cs="仿宋_GB2312"/>
          <w:bCs/>
          <w:color w:val="000000"/>
          <w:kern w:val="0"/>
          <w:sz w:val="32"/>
          <w:szCs w:val="32"/>
        </w:rPr>
        <w:t>人。实有人数153</w:t>
      </w:r>
      <w:r>
        <w:rPr>
          <w:rFonts w:hint="eastAsia" w:ascii="仿宋_GB2312" w:hAnsi="仿宋_GB2312" w:eastAsia="仿宋_GB2312" w:cs="仿宋_GB2312"/>
          <w:bCs/>
          <w:color w:val="000000"/>
          <w:kern w:val="0"/>
          <w:sz w:val="32"/>
          <w:szCs w:val="32"/>
          <w:lang w:eastAsia="zh-CN"/>
        </w:rPr>
        <w:t>人</w:t>
      </w:r>
      <w:r>
        <w:rPr>
          <w:rFonts w:hint="eastAsia" w:ascii="仿宋_GB2312" w:hAnsi="仿宋_GB2312" w:eastAsia="仿宋_GB2312" w:cs="仿宋_GB2312"/>
          <w:bCs/>
          <w:color w:val="000000"/>
          <w:kern w:val="0"/>
          <w:sz w:val="32"/>
          <w:szCs w:val="32"/>
        </w:rPr>
        <w:t>，其中在职10</w:t>
      </w:r>
      <w:r>
        <w:rPr>
          <w:rFonts w:hint="eastAsia" w:ascii="仿宋_GB2312" w:hAnsi="仿宋_GB2312" w:eastAsia="仿宋_GB2312" w:cs="仿宋_GB2312"/>
          <w:bCs/>
          <w:color w:val="000000"/>
          <w:kern w:val="0"/>
          <w:sz w:val="32"/>
          <w:szCs w:val="32"/>
          <w:lang w:val="en-US" w:eastAsia="zh-CN"/>
        </w:rPr>
        <w:t>5</w:t>
      </w:r>
      <w:r>
        <w:rPr>
          <w:rFonts w:hint="eastAsia" w:ascii="仿宋_GB2312" w:hAnsi="仿宋_GB2312" w:eastAsia="仿宋_GB2312" w:cs="仿宋_GB2312"/>
          <w:bCs/>
          <w:color w:val="000000"/>
          <w:kern w:val="0"/>
          <w:sz w:val="32"/>
          <w:szCs w:val="32"/>
        </w:rPr>
        <w:t>人，部分补助10</w:t>
      </w:r>
      <w:r>
        <w:rPr>
          <w:rFonts w:hint="eastAsia" w:ascii="仿宋_GB2312" w:hAnsi="仿宋_GB2312" w:eastAsia="仿宋_GB2312" w:cs="仿宋_GB2312"/>
          <w:bCs/>
          <w:color w:val="000000"/>
          <w:kern w:val="0"/>
          <w:sz w:val="32"/>
          <w:szCs w:val="32"/>
          <w:lang w:val="en-US" w:eastAsia="zh-CN"/>
        </w:rPr>
        <w:t>5</w:t>
      </w:r>
      <w:r>
        <w:rPr>
          <w:rFonts w:hint="eastAsia" w:ascii="仿宋_GB2312" w:hAnsi="仿宋_GB2312" w:eastAsia="仿宋_GB2312" w:cs="仿宋_GB2312"/>
          <w:bCs/>
          <w:color w:val="000000"/>
          <w:kern w:val="0"/>
          <w:sz w:val="32"/>
          <w:szCs w:val="32"/>
        </w:rPr>
        <w:t>人</w:t>
      </w:r>
      <w:r>
        <w:rPr>
          <w:rFonts w:hint="eastAsia" w:ascii="宋体" w:hAnsi="宋体" w:eastAsia="宋体" w:cs="宋体"/>
          <w:bCs/>
          <w:color w:val="000000"/>
          <w:kern w:val="0"/>
          <w:sz w:val="32"/>
          <w:szCs w:val="32"/>
        </w:rPr>
        <w:t>、</w:t>
      </w:r>
      <w:r>
        <w:rPr>
          <w:rFonts w:hint="eastAsia" w:ascii="仿宋_GB2312" w:hAnsi="仿宋_GB2312" w:eastAsia="仿宋_GB2312" w:cs="仿宋_GB2312"/>
          <w:bCs/>
          <w:color w:val="000000"/>
          <w:kern w:val="0"/>
          <w:sz w:val="32"/>
          <w:szCs w:val="32"/>
        </w:rPr>
        <w:t>退休4</w:t>
      </w:r>
      <w:r>
        <w:rPr>
          <w:rFonts w:hint="eastAsia" w:ascii="仿宋_GB2312" w:hAnsi="仿宋_GB2312" w:eastAsia="仿宋_GB2312" w:cs="仿宋_GB2312"/>
          <w:bCs/>
          <w:color w:val="000000"/>
          <w:kern w:val="0"/>
          <w:sz w:val="32"/>
          <w:szCs w:val="32"/>
          <w:lang w:val="en-US" w:eastAsia="zh-CN"/>
        </w:rPr>
        <w:t>6</w:t>
      </w:r>
      <w:r>
        <w:rPr>
          <w:rFonts w:hint="eastAsia" w:ascii="仿宋_GB2312" w:hAnsi="仿宋_GB2312" w:eastAsia="仿宋_GB2312" w:cs="仿宋_GB2312"/>
          <w:bCs/>
          <w:color w:val="000000"/>
          <w:kern w:val="0"/>
          <w:sz w:val="32"/>
          <w:szCs w:val="32"/>
        </w:rPr>
        <w:t>人</w:t>
      </w:r>
      <w:r>
        <w:rPr>
          <w:rFonts w:hint="eastAsia" w:ascii="宋体" w:hAnsi="宋体" w:eastAsia="宋体" w:cs="宋体"/>
          <w:bCs/>
          <w:color w:val="000000"/>
          <w:kern w:val="0"/>
          <w:sz w:val="32"/>
          <w:szCs w:val="32"/>
        </w:rPr>
        <w:t>、</w:t>
      </w:r>
      <w:r>
        <w:rPr>
          <w:rFonts w:hint="eastAsia" w:ascii="仿宋_GB2312" w:hAnsi="仿宋_GB2312" w:eastAsia="仿宋_GB2312" w:cs="仿宋_GB2312"/>
          <w:bCs/>
          <w:color w:val="000000"/>
          <w:kern w:val="0"/>
          <w:sz w:val="32"/>
          <w:szCs w:val="32"/>
          <w:lang w:eastAsia="zh-CN"/>
        </w:rPr>
        <w:t>遗嘱人员</w:t>
      </w:r>
      <w:r>
        <w:rPr>
          <w:rFonts w:hint="eastAsia" w:ascii="仿宋_GB2312" w:hAnsi="仿宋_GB2312" w:eastAsia="仿宋_GB2312" w:cs="仿宋_GB2312"/>
          <w:bCs/>
          <w:color w:val="000000"/>
          <w:kern w:val="0"/>
          <w:sz w:val="32"/>
          <w:szCs w:val="32"/>
          <w:lang w:val="en-US" w:eastAsia="zh-CN"/>
        </w:rPr>
        <w:t>2人</w:t>
      </w:r>
      <w:r>
        <w:rPr>
          <w:rFonts w:hint="eastAsia" w:ascii="仿宋_GB2312" w:hAnsi="仿宋_GB2312" w:eastAsia="仿宋_GB2312" w:cs="仿宋_GB2312"/>
          <w:bCs/>
          <w:color w:val="000000"/>
          <w:kern w:val="0"/>
          <w:sz w:val="32"/>
          <w:szCs w:val="32"/>
        </w:rPr>
        <w:t>。</w:t>
      </w:r>
    </w:p>
    <w:p>
      <w:pPr>
        <w:ind w:firstLine="643" w:firstLineChars="200"/>
        <w:rPr>
          <w:rFonts w:hint="eastAsia" w:ascii="仿宋_GB2312" w:hAnsi="宋体" w:eastAsia="仿宋_GB2312" w:cs="仿宋_GB2312"/>
          <w:b/>
          <w:bCs/>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lang w:eastAsia="zh-CN"/>
        </w:rPr>
        <w:t>景德镇市广播电视台</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景德镇市广播电视台</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2296.19</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49.57万元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按照收入来源划分</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1</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当年公共财政拨款收入</w:t>
      </w:r>
      <w:r>
        <w:rPr>
          <w:rFonts w:hint="eastAsia" w:ascii="仿宋_GB2312" w:hAnsi="宋体" w:eastAsia="仿宋_GB2312" w:cs="仿宋_GB2312"/>
          <w:sz w:val="32"/>
          <w:szCs w:val="32"/>
          <w:lang w:val="en-US" w:eastAsia="zh-CN"/>
        </w:rPr>
        <w:t>2081.45</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90.65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214.74</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9.35</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widowControl/>
        <w:numPr>
          <w:ilvl w:val="0"/>
          <w:numId w:val="0"/>
        </w:numPr>
        <w:ind w:firstLine="480"/>
        <w:jc w:val="left"/>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景德镇市广播电视台</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2296.19</w:t>
      </w:r>
      <w:r>
        <w:rPr>
          <w:rFonts w:hint="eastAsia" w:ascii="仿宋_GB2312" w:hAnsi="宋体" w:eastAsia="仿宋_GB2312" w:cs="仿宋_GB2312"/>
          <w:sz w:val="32"/>
          <w:szCs w:val="32"/>
        </w:rPr>
        <w:t>万元，与上年预算相比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49.57万元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2020年公共预算财政拨款支出预算为2081.45万元，占支出预算总额的90.65%。</w:t>
      </w:r>
    </w:p>
    <w:p>
      <w:pPr>
        <w:widowControl/>
        <w:numPr>
          <w:ilvl w:val="0"/>
          <w:numId w:val="0"/>
        </w:numPr>
        <w:ind w:firstLine="480"/>
        <w:jc w:val="left"/>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w:t>
      </w:r>
      <w:r>
        <w:rPr>
          <w:rFonts w:hint="eastAsia" w:ascii="仿宋_GB2312" w:hAnsi="宋体" w:eastAsia="仿宋_GB2312" w:cs="仿宋_GB2312"/>
          <w:sz w:val="32"/>
          <w:szCs w:val="32"/>
          <w:lang w:val="en-US" w:eastAsia="zh-CN"/>
        </w:rPr>
        <w:t>1</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基本支出</w:t>
      </w:r>
      <w:r>
        <w:rPr>
          <w:rFonts w:hint="eastAsia" w:ascii="仿宋_GB2312" w:hAnsi="宋体" w:eastAsia="仿宋_GB2312" w:cs="仿宋_GB2312"/>
          <w:sz w:val="32"/>
          <w:szCs w:val="32"/>
          <w:lang w:val="en-US" w:eastAsia="zh-CN"/>
        </w:rPr>
        <w:t>2284.19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99.48</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1368.34</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366.38</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362.21</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187.26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2</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项目支出</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0.52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包括</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widowControl/>
        <w:numPr>
          <w:ilvl w:val="0"/>
          <w:numId w:val="0"/>
        </w:numPr>
        <w:ind w:firstLine="640" w:firstLineChars="200"/>
        <w:jc w:val="left"/>
        <w:rPr>
          <w:rFonts w:hint="eastAsia" w:ascii="宋体" w:hAnsi="宋体" w:eastAsia="宋体" w:cs="宋体"/>
          <w:b w:val="0"/>
          <w:bCs w:val="0"/>
          <w:color w:val="000000"/>
          <w:kern w:val="0"/>
          <w:sz w:val="24"/>
          <w:szCs w:val="24"/>
          <w:lang w:val="en-US" w:eastAsia="zh-CN"/>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val="en-US" w:eastAsia="zh-CN"/>
        </w:rPr>
        <w:t>1</w:t>
      </w:r>
      <w:r>
        <w:rPr>
          <w:rFonts w:hint="eastAsia" w:ascii="宋体" w:hAnsi="宋体" w:eastAsia="宋体" w:cs="宋体"/>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文化旅游体育与传媒支出2096.06万元,占支出预算总额的91.29%。其中:电视2096.06万元;2</w:t>
      </w:r>
      <w:r>
        <w:rPr>
          <w:rFonts w:hint="eastAsia" w:ascii="宋体" w:hAnsi="宋体" w:eastAsia="宋体" w:cs="宋体"/>
          <w:b w:val="0"/>
          <w:bCs w:val="0"/>
          <w:color w:val="00000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卫生健康支出76.96万元，占支出预算总额的3.35%。其中事业单位医疗62.35万元，其他行政事业单位医疗支出14.61万元;3</w:t>
      </w:r>
      <w:r>
        <w:rPr>
          <w:rFonts w:hint="eastAsia" w:ascii="宋体" w:hAnsi="宋体" w:eastAsia="宋体" w:cs="宋体"/>
          <w:b w:val="0"/>
          <w:bCs w:val="0"/>
          <w:color w:val="00000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住房保障支出82.48万元，占支出预算总额的3.59%。其中住房公积金82.48万元;4</w:t>
      </w:r>
      <w:r>
        <w:rPr>
          <w:rFonts w:hint="eastAsia" w:ascii="宋体" w:hAnsi="宋体" w:eastAsia="宋体" w:cs="宋体"/>
          <w:b w:val="0"/>
          <w:bCs w:val="0"/>
          <w:color w:val="00000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社会保障和就业支出40.69万元，占支出预算总额的1.77%。其中机关事业单位基本养老保险缴费支出40.69万元。</w:t>
      </w:r>
    </w:p>
    <w:p>
      <w:pPr>
        <w:ind w:firstLine="640" w:firstLineChars="200"/>
        <w:rPr>
          <w:rFonts w:hint="default" w:ascii="仿宋_GB2312" w:eastAsia="仿宋_GB2312" w:cs="Times New Roman"/>
          <w:sz w:val="32"/>
          <w:szCs w:val="32"/>
          <w:lang w:val="en-US"/>
        </w:rPr>
      </w:pPr>
      <w:r>
        <w:rPr>
          <w:rFonts w:hint="eastAsia" w:ascii="仿宋_GB2312" w:hAnsi="宋体" w:eastAsia="仿宋_GB2312" w:cs="仿宋_GB2312"/>
          <w:sz w:val="32"/>
          <w:szCs w:val="32"/>
        </w:rPr>
        <w:t>按支出经济分类划分：</w:t>
      </w:r>
      <w:r>
        <w:rPr>
          <w:rFonts w:hint="eastAsia" w:ascii="仿宋_GB2312" w:hAnsi="宋体" w:eastAsia="仿宋_GB2312" w:cs="仿宋_GB2312"/>
          <w:sz w:val="32"/>
          <w:szCs w:val="32"/>
          <w:lang w:val="en-US" w:eastAsia="zh-CN"/>
        </w:rPr>
        <w:t>1</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1368.34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59.59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2</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378.38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16.48</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3</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362.21万元,占支出预算总额的15.77%;4</w:t>
      </w:r>
      <w:r>
        <w:rPr>
          <w:rFonts w:hint="eastAsia" w:ascii="宋体" w:hAnsi="宋体" w:eastAsia="宋体" w:cs="宋体"/>
          <w:sz w:val="32"/>
          <w:szCs w:val="32"/>
          <w:lang w:val="en-US" w:eastAsia="zh-CN"/>
        </w:rPr>
        <w:t>、</w:t>
      </w:r>
      <w:r>
        <w:rPr>
          <w:rFonts w:hint="eastAsia" w:ascii="仿宋_GB2312" w:hAnsi="宋体" w:eastAsia="仿宋_GB2312" w:cs="仿宋_GB2312"/>
          <w:sz w:val="32"/>
          <w:szCs w:val="32"/>
          <w:lang w:val="en-US" w:eastAsia="zh-CN"/>
        </w:rPr>
        <w:t>资本性支出187.26万元,占支出预算总额的8.16%。</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ascii="仿宋_GB2312" w:eastAsia="仿宋_GB2312" w:cs="Times New Roman"/>
          <w:sz w:val="32"/>
          <w:szCs w:val="32"/>
        </w:rPr>
      </w:pP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景德镇市广播电视台财政拨款</w:t>
      </w:r>
      <w:r>
        <w:rPr>
          <w:rFonts w:hint="eastAsia" w:ascii="仿宋_GB2312" w:hAnsi="仿宋_GB2312" w:eastAsia="仿宋_GB2312" w:cs="仿宋_GB2312"/>
          <w:sz w:val="32"/>
          <w:szCs w:val="32"/>
        </w:rPr>
        <w:t>支出预算</w:t>
      </w:r>
      <w:r>
        <w:rPr>
          <w:rFonts w:hint="eastAsia" w:ascii="仿宋_GB2312" w:hAnsi="仿宋_GB2312" w:eastAsia="仿宋_GB2312" w:cs="仿宋_GB2312"/>
          <w:sz w:val="32"/>
          <w:szCs w:val="32"/>
          <w:lang w:val="en-US" w:eastAsia="zh-CN"/>
        </w:rPr>
        <w:t>2081.45</w:t>
      </w:r>
      <w:r>
        <w:rPr>
          <w:rFonts w:hint="eastAsia" w:ascii="仿宋_GB2312" w:hAnsi="仿宋_GB2312" w:eastAsia="仿宋_GB2312" w:cs="仿宋_GB2312"/>
          <w:sz w:val="32"/>
          <w:szCs w:val="32"/>
        </w:rPr>
        <w:t>万元，占支出预算总额的</w:t>
      </w:r>
      <w:r>
        <w:rPr>
          <w:rFonts w:hint="eastAsia" w:ascii="仿宋_GB2312" w:hAnsi="仿宋_GB2312" w:eastAsia="仿宋_GB2312" w:cs="仿宋_GB2312"/>
          <w:sz w:val="32"/>
          <w:szCs w:val="32"/>
          <w:lang w:val="en-US" w:eastAsia="zh-CN"/>
        </w:rPr>
        <w:t>90.65</w:t>
      </w:r>
      <w:r>
        <w:rPr>
          <w:rFonts w:hint="eastAsia" w:ascii="仿宋_GB2312" w:hAnsi="仿宋_GB2312" w:eastAsia="仿宋_GB2312" w:cs="仿宋_GB2312"/>
          <w:sz w:val="32"/>
          <w:szCs w:val="32"/>
        </w:rPr>
        <w:t>%，与上年预算相比增</w:t>
      </w:r>
      <w:r>
        <w:rPr>
          <w:rFonts w:hint="eastAsia" w:ascii="仿宋_GB2312" w:hAnsi="仿宋_GB2312" w:eastAsia="仿宋_GB2312" w:cs="仿宋_GB2312"/>
          <w:sz w:val="32"/>
          <w:szCs w:val="32"/>
          <w:lang w:eastAsia="zh-CN"/>
        </w:rPr>
        <w:t>加</w:t>
      </w:r>
      <w:r>
        <w:rPr>
          <w:rFonts w:hint="eastAsia" w:ascii="仿宋_GB2312" w:hAnsi="仿宋_GB2312" w:eastAsia="仿宋_GB2312" w:cs="仿宋_GB2312"/>
          <w:sz w:val="32"/>
          <w:szCs w:val="32"/>
          <w:lang w:val="en-US" w:eastAsia="zh-CN"/>
        </w:rPr>
        <w:t>150.62万元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主要是工资和福利支出增加</w:t>
      </w:r>
      <w:r>
        <w:rPr>
          <w:rFonts w:hint="eastAsia" w:ascii="仿宋_GB2312" w:hAnsi="仿宋_GB2312" w:eastAsia="仿宋_GB2312" w:cs="仿宋_GB2312"/>
          <w:sz w:val="32"/>
          <w:szCs w:val="32"/>
          <w:lang w:val="en-US" w:eastAsia="zh-CN"/>
        </w:rPr>
        <w:t>91.87万元、商品和服务支出的其他交通费用增加66.95万元</w:t>
      </w:r>
      <w:r>
        <w:rPr>
          <w:rFonts w:hint="eastAsia" w:ascii="仿宋_GB2312" w:hAnsi="仿宋_GB2312" w:eastAsia="仿宋_GB2312" w:cs="仿宋_GB2312"/>
          <w:sz w:val="32"/>
          <w:szCs w:val="32"/>
        </w:rPr>
        <w:t>。</w:t>
      </w:r>
      <w:r>
        <w:rPr>
          <w:rFonts w:hint="eastAsia" w:ascii="仿宋_GB2312" w:hAnsi="宋体" w:eastAsia="仿宋_GB2312" w:cs="仿宋_GB2312"/>
          <w:sz w:val="32"/>
          <w:szCs w:val="32"/>
        </w:rPr>
        <w:t>具体支出情况</w:t>
      </w:r>
      <w:r>
        <w:rPr>
          <w:rFonts w:hint="eastAsia" w:ascii="仿宋_GB2312" w:hAnsi="宋体" w:eastAsia="仿宋_GB2312" w:cs="仿宋_GB2312"/>
          <w:sz w:val="32"/>
          <w:szCs w:val="32"/>
          <w:lang w:eastAsia="zh-CN"/>
        </w:rPr>
        <w:t>按支出功能科目分类</w:t>
      </w:r>
      <w:r>
        <w:rPr>
          <w:rFonts w:hint="eastAsia" w:ascii="仿宋_GB2312" w:hAnsi="宋体" w:eastAsia="仿宋_GB2312" w:cs="仿宋_GB2312"/>
          <w:sz w:val="32"/>
          <w:szCs w:val="32"/>
        </w:rPr>
        <w:t>：</w:t>
      </w:r>
      <w:r>
        <w:rPr>
          <w:rFonts w:hint="eastAsia" w:ascii="仿宋_GB2312" w:hAnsi="仿宋_GB2312" w:eastAsia="仿宋_GB2312" w:cs="仿宋_GB2312"/>
          <w:b w:val="0"/>
          <w:bCs w:val="0"/>
          <w:color w:val="000000"/>
          <w:kern w:val="0"/>
          <w:sz w:val="32"/>
          <w:szCs w:val="32"/>
          <w:lang w:val="en-US" w:eastAsia="zh-CN"/>
        </w:rPr>
        <w:t>文化旅游体育与传媒支出1881.32万元,占公共财政拨款支出预算的90.39%;卫生健康支出76.96万元，占公共财政拨款支出预算的3.70%;住房保障支出82.48万元，占公共财政拨款支出预算的3.96%;社会保障和就业支出40.69万元，占公共财政拨款支出预算的1.95%。</w:t>
      </w:r>
    </w:p>
    <w:p>
      <w:pPr>
        <w:numPr>
          <w:ilvl w:val="0"/>
          <w:numId w:val="2"/>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2020年政府采购预算为187.26万元，其中：部门集中采购187.26万元。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景德镇市广播电视台</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10.13</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eastAsia="zh-CN"/>
        </w:rPr>
        <w:t>相同；</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2.63</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与上年相同；</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lang w:val="en-US" w:eastAsia="zh-CN"/>
        </w:rPr>
        <w:t>8.84</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公车改革单位保留两辆公务用车；</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rPr>
        <w:t>上年</w:t>
      </w:r>
      <w:r>
        <w:rPr>
          <w:rFonts w:hint="eastAsia" w:ascii="仿宋_GB2312" w:hAnsi="宋体" w:eastAsia="仿宋_GB2312" w:cs="仿宋_GB2312"/>
          <w:sz w:val="32"/>
          <w:szCs w:val="32"/>
          <w:lang w:eastAsia="zh-CN"/>
        </w:rPr>
        <w:t>相同。</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w:t>
      </w:r>
      <w:r>
        <w:rPr>
          <w:rFonts w:hint="eastAsia" w:ascii="黑体" w:hAnsi="宋体" w:eastAsia="黑体" w:cs="黑体"/>
          <w:sz w:val="32"/>
          <w:szCs w:val="32"/>
          <w:lang w:eastAsia="zh-CN"/>
        </w:rPr>
        <w:t>市广播电视台</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ascii="仿宋_GB2312" w:eastAsia="仿宋_GB2312" w:cs="Times New Roman"/>
          <w:sz w:val="32"/>
          <w:szCs w:val="32"/>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firstLine="640" w:firstLineChars="200"/>
        <w:jc w:val="left"/>
        <w:rPr>
          <w:rFonts w:hint="eastAsia" w:ascii="仿宋_GB2312" w:hAnsi="仿宋_GB2312" w:eastAsia="仿宋_GB2312" w:cs="仿宋_GB2312"/>
          <w:b w:val="0"/>
          <w:i w:val="0"/>
          <w:caps w:val="0"/>
          <w:color w:val="000000"/>
          <w:spacing w:val="0"/>
          <w:sz w:val="32"/>
          <w:szCs w:val="32"/>
          <w:u w:val="none"/>
          <w:shd w:val="clear" w:fill="FFFFFF"/>
          <w:lang w:val="en-US" w:eastAsia="zh-CN"/>
        </w:rPr>
      </w:pPr>
      <w:r>
        <w:rPr>
          <w:rFonts w:hint="eastAsia" w:ascii="仿宋_GB2312" w:hAnsi="仿宋_GB2312" w:eastAsia="仿宋_GB2312" w:cs="仿宋_GB2312"/>
          <w:b w:val="0"/>
          <w:i w:val="0"/>
          <w:caps w:val="0"/>
          <w:color w:val="000000"/>
          <w:spacing w:val="0"/>
          <w:sz w:val="32"/>
          <w:szCs w:val="32"/>
          <w:u w:val="none"/>
          <w:shd w:val="clear" w:fill="FFFFFF"/>
          <w:lang w:eastAsia="zh-CN"/>
        </w:rPr>
        <w:t>文化旅游体育与传媒支出</w:t>
      </w:r>
      <w:r>
        <w:rPr>
          <w:rFonts w:hint="eastAsia" w:ascii="仿宋_GB2312" w:hAnsi="仿宋_GB2312" w:eastAsia="仿宋_GB2312" w:cs="仿宋_GB2312"/>
          <w:b w:val="0"/>
          <w:i w:val="0"/>
          <w:caps w:val="0"/>
          <w:color w:val="000000"/>
          <w:spacing w:val="0"/>
          <w:sz w:val="32"/>
          <w:szCs w:val="32"/>
          <w:u w:val="none"/>
          <w:shd w:val="clear" w:fill="FFFFFF"/>
          <w:lang w:val="en-US" w:eastAsia="zh-CN"/>
        </w:rPr>
        <w:t>(类）广播电视(款）电视(项）：反映电视台、电视发射台、电视转播台的支出。</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firstLine="640" w:firstLineChars="200"/>
        <w:jc w:val="left"/>
        <w:rPr>
          <w:rFonts w:hint="eastAsia" w:ascii="仿宋_GB2312" w:hAnsi="仿宋_GB2312" w:eastAsia="仿宋_GB2312" w:cs="仿宋_GB2312"/>
          <w:b w:val="0"/>
          <w:i w:val="0"/>
          <w:caps w:val="0"/>
          <w:color w:val="000000"/>
          <w:spacing w:val="0"/>
          <w:sz w:val="32"/>
          <w:szCs w:val="32"/>
          <w:u w:val="none"/>
          <w:shd w:val="clear" w:fill="FFFFFF"/>
          <w:lang w:val="en-US" w:eastAsia="zh-CN"/>
        </w:rPr>
      </w:pPr>
      <w:r>
        <w:rPr>
          <w:rFonts w:hint="eastAsia" w:ascii="仿宋_GB2312" w:hAnsi="仿宋_GB2312" w:eastAsia="仿宋_GB2312" w:cs="仿宋_GB2312"/>
          <w:b w:val="0"/>
          <w:i w:val="0"/>
          <w:caps w:val="0"/>
          <w:color w:val="000000"/>
          <w:spacing w:val="0"/>
          <w:sz w:val="32"/>
          <w:szCs w:val="32"/>
          <w:u w:val="none"/>
          <w:shd w:val="clear" w:fill="FFFFFF"/>
          <w:lang w:val="en-US" w:eastAsia="zh-CN"/>
        </w:rPr>
        <w:t>文化旅游体育与传媒支出(类）其他广播电视支出(款）其他文化体育与传媒支出(项）：反映其他用于广播电视方面的支出。</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firstLine="640" w:firstLineChars="200"/>
        <w:jc w:val="left"/>
        <w:rPr>
          <w:rFonts w:hint="eastAsia" w:ascii="仿宋_GB2312" w:hAnsi="仿宋_GB2312" w:eastAsia="仿宋_GB2312" w:cs="仿宋_GB2312"/>
          <w:b w:val="0"/>
          <w:i w:val="0"/>
          <w:caps w:val="0"/>
          <w:color w:val="000000"/>
          <w:spacing w:val="0"/>
          <w:sz w:val="32"/>
          <w:szCs w:val="32"/>
          <w:u w:val="none"/>
          <w:shd w:val="clear" w:fill="FFFFFF"/>
          <w:lang w:val="en-US" w:eastAsia="zh-CN"/>
        </w:rPr>
      </w:pPr>
      <w:r>
        <w:rPr>
          <w:rFonts w:hint="eastAsia" w:ascii="仿宋_GB2312" w:hAnsi="仿宋_GB2312" w:eastAsia="仿宋_GB2312" w:cs="仿宋_GB2312"/>
          <w:b w:val="0"/>
          <w:i w:val="0"/>
          <w:caps w:val="0"/>
          <w:color w:val="000000"/>
          <w:spacing w:val="0"/>
          <w:sz w:val="32"/>
          <w:szCs w:val="32"/>
          <w:u w:val="none"/>
          <w:shd w:val="clear" w:fill="FFFFFF"/>
          <w:lang w:val="en-US" w:eastAsia="zh-CN"/>
        </w:rPr>
        <w:t>社会保障和就业支出(类）行政事业单位离退休(款）机关事业单位基本养老保险缴费支出(项）：反映机关事业单位实施养老保险制度由单位缴纳的基本养老保险费支出。</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firstLine="640" w:firstLineChars="200"/>
        <w:jc w:val="left"/>
        <w:rPr>
          <w:rFonts w:hint="eastAsia" w:ascii="仿宋_GB2312" w:hAnsi="仿宋_GB2312" w:eastAsia="仿宋_GB2312" w:cs="仿宋_GB2312"/>
          <w:b w:val="0"/>
          <w:i w:val="0"/>
          <w:caps w:val="0"/>
          <w:color w:val="000000"/>
          <w:spacing w:val="0"/>
          <w:sz w:val="32"/>
          <w:szCs w:val="32"/>
          <w:u w:val="none"/>
          <w:shd w:val="clear" w:fill="FFFFFF"/>
          <w:lang w:val="en-US" w:eastAsia="zh-CN"/>
        </w:rPr>
      </w:pPr>
      <w:r>
        <w:rPr>
          <w:rFonts w:hint="eastAsia" w:ascii="仿宋_GB2312" w:hAnsi="仿宋_GB2312" w:eastAsia="仿宋_GB2312" w:cs="仿宋_GB2312"/>
          <w:b w:val="0"/>
          <w:i w:val="0"/>
          <w:caps w:val="0"/>
          <w:color w:val="000000"/>
          <w:spacing w:val="0"/>
          <w:sz w:val="32"/>
          <w:szCs w:val="32"/>
          <w:u w:val="none"/>
          <w:shd w:val="clear" w:fill="FFFFFF"/>
          <w:lang w:val="en-US" w:eastAsia="zh-CN"/>
        </w:rPr>
        <w:t>卫生健康支出(类）行政事业单位医疗(款）事业单位医疗(项）：反映财政部门安排的事业单位基本医疗保险缴费经费，未参加医疗保险的事业单位的公费医疗经费，按国家规定享受离休人员待遇的医疗经费。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uto"/>
        <w:ind w:right="0" w:rightChars="0" w:firstLine="640" w:firstLineChars="200"/>
        <w:jc w:val="left"/>
        <w:rPr>
          <w:rFonts w:hint="eastAsia" w:ascii="仿宋_GB2312" w:hAnsi="仿宋_GB2312" w:eastAsia="仿宋_GB2312" w:cs="仿宋_GB2312"/>
          <w:b w:val="0"/>
          <w:i w:val="0"/>
          <w:caps w:val="0"/>
          <w:color w:val="000000"/>
          <w:spacing w:val="0"/>
          <w:sz w:val="32"/>
          <w:szCs w:val="32"/>
          <w:u w:val="none"/>
          <w:shd w:val="clear" w:fill="FFFFFF"/>
          <w:lang w:val="en-US" w:eastAsia="zh-CN"/>
        </w:rPr>
      </w:pPr>
      <w:r>
        <w:rPr>
          <w:rFonts w:hint="eastAsia" w:ascii="仿宋_GB2312" w:hAnsi="仿宋_GB2312" w:eastAsia="仿宋_GB2312" w:cs="仿宋_GB2312"/>
          <w:b w:val="0"/>
          <w:i w:val="0"/>
          <w:caps w:val="0"/>
          <w:color w:val="000000"/>
          <w:spacing w:val="0"/>
          <w:sz w:val="32"/>
          <w:szCs w:val="32"/>
          <w:u w:val="none"/>
          <w:shd w:val="clear" w:fill="FFFFFF"/>
          <w:lang w:val="en-US" w:eastAsia="zh-CN"/>
        </w:rPr>
        <w:t>卫生健康支出(类）行政事业单位医疗(款）其他行政事业单位医疗支出(项）：反映其他用于行政事业单位医疗方面的支出。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i w:val="0"/>
          <w:caps w:val="0"/>
          <w:color w:val="000000"/>
          <w:spacing w:val="0"/>
          <w:sz w:val="32"/>
          <w:szCs w:val="32"/>
          <w:u w:val="none"/>
          <w:shd w:val="clear" w:fill="FFFFFF"/>
          <w:lang w:val="en-US" w:eastAsia="zh-CN"/>
        </w:rPr>
        <w:t>住房保障支出(类）住房改革支出(款）住房公积金(项）：反映行政事业单位按人力资源和社会保障、财政部规定的基本工资和津贴补贴以及规定比例为职工缴纳的住房公积金。</w:t>
      </w: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p>
    <w:p>
      <w:pPr>
        <w:rPr>
          <w:rFonts w:hint="eastAsia" w:ascii="仿宋_GB2312" w:hAnsi="仿宋_GB2312" w:eastAsia="仿宋_GB2312" w:cs="仿宋_GB2312"/>
          <w:sz w:val="32"/>
          <w:szCs w:val="32"/>
          <w:lang w:eastAsia="zh-CN"/>
        </w:rPr>
      </w:pPr>
    </w:p>
    <w:tbl>
      <w:tblPr>
        <w:tblStyle w:val="6"/>
        <w:tblW w:w="6127" w:type="pct"/>
        <w:tblInd w:w="-924" w:type="dxa"/>
        <w:shd w:val="clear" w:color="auto" w:fill="auto"/>
        <w:tblLayout w:type="fixed"/>
        <w:tblCellMar>
          <w:top w:w="0" w:type="dxa"/>
          <w:left w:w="0" w:type="dxa"/>
          <w:bottom w:w="0" w:type="dxa"/>
          <w:right w:w="0" w:type="dxa"/>
        </w:tblCellMar>
      </w:tblPr>
      <w:tblGrid>
        <w:gridCol w:w="3435"/>
        <w:gridCol w:w="1185"/>
        <w:gridCol w:w="4575"/>
        <w:gridCol w:w="1020"/>
      </w:tblGrid>
      <w:tr>
        <w:tblPrEx>
          <w:shd w:val="clear" w:color="auto" w:fill="auto"/>
          <w:tblCellMar>
            <w:top w:w="0" w:type="dxa"/>
            <w:left w:w="0" w:type="dxa"/>
            <w:bottom w:w="0" w:type="dxa"/>
            <w:right w:w="0" w:type="dxa"/>
          </w:tblCellMar>
        </w:tblPrEx>
        <w:trPr>
          <w:trHeight w:val="390" w:hRule="atLeast"/>
        </w:trPr>
        <w:tc>
          <w:tcPr>
            <w:tcW w:w="1681" w:type="pct"/>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4"/>
                <w:szCs w:val="24"/>
                <w:u w:val="none"/>
                <w:lang w:val="en-US" w:eastAsia="zh-CN" w:bidi="ar"/>
              </w:rPr>
              <w:t>部门公开表1</w:t>
            </w:r>
          </w:p>
        </w:tc>
        <w:tc>
          <w:tcPr>
            <w:tcW w:w="580"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2239"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99"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5" w:hRule="atLeast"/>
        </w:trPr>
        <w:tc>
          <w:tcPr>
            <w:tcW w:w="5000" w:type="pct"/>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收支预算总表</w:t>
            </w:r>
          </w:p>
        </w:tc>
      </w:tr>
      <w:tr>
        <w:tblPrEx>
          <w:tblCellMar>
            <w:top w:w="0" w:type="dxa"/>
            <w:left w:w="0" w:type="dxa"/>
            <w:bottom w:w="0" w:type="dxa"/>
            <w:right w:w="0" w:type="dxa"/>
          </w:tblCellMar>
        </w:tblPrEx>
        <w:trPr>
          <w:trHeight w:val="645" w:hRule="atLeast"/>
        </w:trPr>
        <w:tc>
          <w:tcPr>
            <w:tcW w:w="5000" w:type="pct"/>
            <w:gridSpan w:val="4"/>
            <w:tcBorders>
              <w:top w:val="nil"/>
              <w:left w:val="nil"/>
              <w:bottom w:val="nil"/>
              <w:right w:val="nil"/>
            </w:tcBorders>
            <w:shd w:val="clear" w:color="auto" w:fill="auto"/>
            <w:noWrap/>
            <w:tcMar>
              <w:top w:w="15" w:type="dxa"/>
              <w:left w:w="15" w:type="dxa"/>
              <w:right w:w="15" w:type="dxa"/>
            </w:tcMar>
            <w:vAlign w:val="center"/>
          </w:tcPr>
          <w:p>
            <w:pPr>
              <w:widowControl/>
              <w:jc w:val="left"/>
              <w:rPr>
                <w:rFonts w:hint="eastAsia" w:ascii="宋体" w:hAnsi="宋体" w:eastAsia="宋体" w:cs="Arial"/>
                <w:color w:val="000000"/>
                <w:kern w:val="0"/>
                <w:sz w:val="24"/>
                <w:szCs w:val="24"/>
                <w:lang w:val="en-US" w:eastAsia="zh-CN" w:bidi="ar-SA"/>
              </w:rPr>
            </w:pPr>
            <w:r>
              <w:rPr>
                <w:rFonts w:hint="eastAsia" w:ascii="宋体" w:hAnsi="宋体" w:eastAsia="宋体" w:cs="Arial"/>
                <w:color w:val="000000"/>
                <w:kern w:val="0"/>
                <w:sz w:val="24"/>
                <w:szCs w:val="24"/>
              </w:rPr>
              <w:t xml:space="preserve">填报单位:207景德镇市广播电视台 , 207001景德镇市广播电视台本级            单位：万元                             </w:t>
            </w:r>
          </w:p>
        </w:tc>
      </w:tr>
      <w:tr>
        <w:tblPrEx>
          <w:tblCellMar>
            <w:top w:w="0" w:type="dxa"/>
            <w:left w:w="0" w:type="dxa"/>
            <w:bottom w:w="0" w:type="dxa"/>
            <w:right w:w="0" w:type="dxa"/>
          </w:tblCellMar>
        </w:tblPrEx>
        <w:trPr>
          <w:trHeight w:val="345" w:hRule="atLeast"/>
        </w:trPr>
        <w:tc>
          <w:tcPr>
            <w:tcW w:w="2261"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w:t>
            </w:r>
          </w:p>
        </w:tc>
        <w:tc>
          <w:tcPr>
            <w:tcW w:w="273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支       出 </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预算数</w:t>
            </w: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项目(按支出功能科目类级)</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预算数</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一、财政拨款</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2,081.45</w:t>
            </w: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文化旅游体育与传媒支出</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2,096.06</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2,069.45</w:t>
            </w: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社会保障和就业支出</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40.69</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专项收入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卫生健康支出</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76.96</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政府性基金预算拨款收入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住房保障支出</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82.48</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预留其他</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bookmarkStart w:id="0" w:name="_GoBack"/>
            <w:bookmarkEnd w:id="0"/>
            <w:r>
              <w:rPr>
                <w:rFonts w:hint="eastAsia" w:ascii="宋体" w:hAnsi="宋体" w:eastAsia="宋体" w:cs="宋体"/>
                <w:i w:val="0"/>
                <w:color w:val="000000"/>
                <w:kern w:val="0"/>
                <w:sz w:val="24"/>
                <w:szCs w:val="24"/>
                <w:u w:val="none"/>
                <w:lang w:val="en-US" w:eastAsia="zh-CN" w:bidi="ar"/>
              </w:rPr>
              <w:t>12.00</w:t>
            </w: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二、事业收入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三、事业单位经营收入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四、其他收入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五、附属单位上缴收入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六、上级补助收入</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00"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本年收入合计</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2,081.45</w:t>
            </w: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本年支出合计</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2,296.19</w:t>
            </w: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七、用事业基金弥补收支差额</w:t>
            </w:r>
          </w:p>
        </w:tc>
        <w:tc>
          <w:tcPr>
            <w:tcW w:w="58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结转下年</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八、上年结转（结余）</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214.74</w:t>
            </w: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Calibri" w:hAnsi="Calibri" w:cs="Calibri"/>
                <w:i w:val="0"/>
                <w:color w:val="000000"/>
                <w:sz w:val="22"/>
                <w:szCs w:val="22"/>
                <w:u w:val="none"/>
              </w:rPr>
            </w:pP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45" w:hRule="atLeast"/>
        </w:trPr>
        <w:tc>
          <w:tcPr>
            <w:tcW w:w="168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收入总计</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2,296.19</w:t>
            </w:r>
          </w:p>
        </w:tc>
        <w:tc>
          <w:tcPr>
            <w:tcW w:w="223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支出总计</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2,296.19</w:t>
            </w: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6468" w:type="pct"/>
        <w:tblInd w:w="-1194" w:type="dxa"/>
        <w:shd w:val="clear" w:color="auto" w:fill="auto"/>
        <w:tblLayout w:type="fixed"/>
        <w:tblCellMar>
          <w:top w:w="0" w:type="dxa"/>
          <w:left w:w="0" w:type="dxa"/>
          <w:bottom w:w="0" w:type="dxa"/>
          <w:right w:w="0" w:type="dxa"/>
        </w:tblCellMar>
      </w:tblPr>
      <w:tblGrid>
        <w:gridCol w:w="1110"/>
        <w:gridCol w:w="1215"/>
        <w:gridCol w:w="825"/>
        <w:gridCol w:w="645"/>
        <w:gridCol w:w="840"/>
        <w:gridCol w:w="915"/>
        <w:gridCol w:w="780"/>
        <w:gridCol w:w="570"/>
        <w:gridCol w:w="553"/>
        <w:gridCol w:w="407"/>
        <w:gridCol w:w="570"/>
        <w:gridCol w:w="540"/>
        <w:gridCol w:w="660"/>
        <w:gridCol w:w="570"/>
        <w:gridCol w:w="585"/>
      </w:tblGrid>
      <w:tr>
        <w:tblPrEx>
          <w:shd w:val="clear" w:color="auto" w:fill="auto"/>
          <w:tblCellMar>
            <w:top w:w="0" w:type="dxa"/>
            <w:left w:w="0" w:type="dxa"/>
            <w:bottom w:w="0" w:type="dxa"/>
            <w:right w:w="0" w:type="dxa"/>
          </w:tblCellMar>
        </w:tblPrEx>
        <w:trPr>
          <w:gridAfter w:val="8"/>
          <w:wAfter w:w="2065" w:type="pct"/>
          <w:trHeight w:val="420" w:hRule="atLeast"/>
        </w:trPr>
        <w:tc>
          <w:tcPr>
            <w:tcW w:w="2934" w:type="pct"/>
            <w:gridSpan w:val="7"/>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kern w:val="0"/>
                <w:sz w:val="24"/>
                <w:szCs w:val="24"/>
                <w:u w:val="none"/>
                <w:lang w:val="en-US" w:eastAsia="zh-CN" w:bidi="ar"/>
              </w:rPr>
            </w:pPr>
          </w:p>
          <w:p>
            <w:pPr>
              <w:rPr>
                <w:rFonts w:hint="default" w:ascii="Calibri" w:hAnsi="Calibri" w:cs="Calibri"/>
                <w:i w:val="0"/>
                <w:color w:val="000000"/>
                <w:sz w:val="22"/>
                <w:szCs w:val="22"/>
                <w:u w:val="none"/>
              </w:rPr>
            </w:pPr>
            <w:r>
              <w:rPr>
                <w:rFonts w:hint="eastAsia" w:ascii="宋体" w:hAnsi="宋体" w:eastAsia="宋体" w:cs="宋体"/>
                <w:i w:val="0"/>
                <w:color w:val="000000"/>
                <w:kern w:val="0"/>
                <w:sz w:val="24"/>
                <w:szCs w:val="24"/>
                <w:u w:val="none"/>
                <w:lang w:val="en-US" w:eastAsia="zh-CN" w:bidi="ar"/>
              </w:rPr>
              <w:t>部门公开表</w:t>
            </w:r>
            <w:r>
              <w:rPr>
                <w:rFonts w:ascii="Calibri" w:hAnsi="Calibri" w:eastAsia="宋体" w:cs="Calibri"/>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585" w:hRule="atLeast"/>
        </w:trPr>
        <w:tc>
          <w:tcPr>
            <w:tcW w:w="5000" w:type="pct"/>
            <w:gridSpan w:val="15"/>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部门收入总表</w:t>
            </w:r>
          </w:p>
        </w:tc>
      </w:tr>
      <w:tr>
        <w:tblPrEx>
          <w:tblCellMar>
            <w:top w:w="0" w:type="dxa"/>
            <w:left w:w="0" w:type="dxa"/>
            <w:bottom w:w="0" w:type="dxa"/>
            <w:right w:w="0" w:type="dxa"/>
          </w:tblCellMar>
        </w:tblPrEx>
        <w:trPr>
          <w:trHeight w:val="555" w:hRule="atLeast"/>
        </w:trPr>
        <w:tc>
          <w:tcPr>
            <w:tcW w:w="5000" w:type="pct"/>
            <w:gridSpan w:val="1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Arial"/>
                <w:color w:val="000000"/>
                <w:kern w:val="0"/>
                <w:sz w:val="24"/>
                <w:szCs w:val="24"/>
              </w:rPr>
              <w:t xml:space="preserve">填报单位:207景德镇市广播电视台 , 207001景德镇市广播电视台本级            </w:t>
            </w:r>
            <w:r>
              <w:rPr>
                <w:rFonts w:hint="eastAsia" w:ascii="宋体" w:hAnsi="宋体" w:cs="Arial"/>
                <w:color w:val="000000"/>
                <w:kern w:val="0"/>
                <w:sz w:val="24"/>
                <w:szCs w:val="24"/>
                <w:lang w:val="en-US" w:eastAsia="zh-CN"/>
              </w:rPr>
              <w:t xml:space="preserve">    </w:t>
            </w:r>
            <w:r>
              <w:rPr>
                <w:rFonts w:hint="eastAsia" w:ascii="宋体" w:hAnsi="宋体" w:eastAsia="宋体" w:cs="Arial"/>
                <w:color w:val="000000"/>
                <w:kern w:val="0"/>
                <w:sz w:val="24"/>
                <w:szCs w:val="24"/>
              </w:rPr>
              <w:t>单位：万元</w:t>
            </w:r>
          </w:p>
        </w:tc>
      </w:tr>
      <w:tr>
        <w:tblPrEx>
          <w:tblCellMar>
            <w:top w:w="0" w:type="dxa"/>
            <w:left w:w="0" w:type="dxa"/>
            <w:bottom w:w="0" w:type="dxa"/>
            <w:right w:w="0" w:type="dxa"/>
          </w:tblCellMar>
        </w:tblPrEx>
        <w:trPr>
          <w:trHeight w:val="345" w:hRule="atLeast"/>
        </w:trPr>
        <w:tc>
          <w:tcPr>
            <w:tcW w:w="51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功能科目编码</w:t>
            </w:r>
          </w:p>
        </w:tc>
        <w:tc>
          <w:tcPr>
            <w:tcW w:w="56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功能科目名称</w:t>
            </w:r>
          </w:p>
        </w:tc>
        <w:tc>
          <w:tcPr>
            <w:tcW w:w="382" w:type="pct"/>
            <w:vMerge w:val="restar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99"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上年结转</w:t>
            </w:r>
          </w:p>
        </w:tc>
        <w:tc>
          <w:tcPr>
            <w:tcW w:w="1695" w:type="pct"/>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财政拨款</w:t>
            </w:r>
          </w:p>
        </w:tc>
        <w:tc>
          <w:tcPr>
            <w:tcW w:w="188"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事业收入</w:t>
            </w:r>
          </w:p>
        </w:tc>
        <w:tc>
          <w:tcPr>
            <w:tcW w:w="264"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事业单位经营收入</w:t>
            </w:r>
          </w:p>
        </w:tc>
        <w:tc>
          <w:tcPr>
            <w:tcW w:w="250"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其他收入</w:t>
            </w:r>
          </w:p>
        </w:tc>
        <w:tc>
          <w:tcPr>
            <w:tcW w:w="305"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附属单位上缴收入</w:t>
            </w:r>
          </w:p>
        </w:tc>
        <w:tc>
          <w:tcPr>
            <w:tcW w:w="264"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上级补助收入</w:t>
            </w:r>
          </w:p>
        </w:tc>
        <w:tc>
          <w:tcPr>
            <w:tcW w:w="27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用事业基金弥补收支差额</w:t>
            </w:r>
          </w:p>
        </w:tc>
      </w:tr>
      <w:tr>
        <w:tblPrEx>
          <w:tblCellMar>
            <w:top w:w="0" w:type="dxa"/>
            <w:left w:w="0" w:type="dxa"/>
            <w:bottom w:w="0" w:type="dxa"/>
            <w:right w:w="0" w:type="dxa"/>
          </w:tblCellMar>
        </w:tblPrEx>
        <w:trPr>
          <w:trHeight w:val="1170" w:hRule="atLeast"/>
        </w:trPr>
        <w:tc>
          <w:tcPr>
            <w:tcW w:w="51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6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82" w:type="pct"/>
            <w:vMerge w:val="continue"/>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一般公共预算拨款收入</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政府性基金预算拨款收入</w:t>
            </w: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专项收入</w:t>
            </w: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预留其他</w:t>
            </w:r>
          </w:p>
        </w:tc>
        <w:tc>
          <w:tcPr>
            <w:tcW w:w="188"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64"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50"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05"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64"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20" w:hRule="atLeast"/>
        </w:trPr>
        <w:tc>
          <w:tcPr>
            <w:tcW w:w="514"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63"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82"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99"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389"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24"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61"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64"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256"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188"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264"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250"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05"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264"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271"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r>
      <w:tr>
        <w:tblPrEx>
          <w:tblCellMar>
            <w:top w:w="0" w:type="dxa"/>
            <w:left w:w="0" w:type="dxa"/>
            <w:bottom w:w="0" w:type="dxa"/>
            <w:right w:w="0" w:type="dxa"/>
          </w:tblCellMar>
        </w:tblPrEx>
        <w:trPr>
          <w:trHeight w:val="42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2,296.19 </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214.74</w:t>
            </w: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2,081.45 </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2,069.45 </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12.00 </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文化旅游体育与传媒支出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2,096.06</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214.74</w:t>
            </w:r>
          </w:p>
        </w:tc>
        <w:tc>
          <w:tcPr>
            <w:tcW w:w="3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1,881.32</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1,869.32</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12.00 </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广播电视</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2,096.06</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214.74</w:t>
            </w:r>
          </w:p>
        </w:tc>
        <w:tc>
          <w:tcPr>
            <w:tcW w:w="3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1,881.32</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1,869.32</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12.00 </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1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60" w:firstLineChars="2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2070805</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电视</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2,096.06</w:t>
            </w:r>
          </w:p>
        </w:tc>
        <w:tc>
          <w:tcPr>
            <w:tcW w:w="29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214.74</w:t>
            </w:r>
          </w:p>
        </w:tc>
        <w:tc>
          <w:tcPr>
            <w:tcW w:w="38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1,881.32</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1,869.32</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12.00 </w:t>
            </w: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1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1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行政事业单位养老支出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36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机关事业单位基本养老保险缴费支出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40.69</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卫生健康支出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2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行政事业单位医疗</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76.96</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事业单位医疗</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62.35</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62.35</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62.35</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default" w:ascii="Calibri" w:hAnsi="Calibri" w:cs="Calibri"/>
                <w:i w:val="0"/>
                <w:color w:val="000000"/>
                <w:sz w:val="18"/>
                <w:szCs w:val="18"/>
                <w:u w:val="none"/>
              </w:rPr>
            </w:pPr>
            <w:r>
              <w:rPr>
                <w:rFonts w:hint="default" w:ascii="Calibri" w:hAnsi="Calibri" w:eastAsia="宋体" w:cs="Calibri"/>
                <w:i w:val="0"/>
                <w:color w:val="000000"/>
                <w:kern w:val="0"/>
                <w:sz w:val="18"/>
                <w:szCs w:val="18"/>
                <w:u w:val="none"/>
                <w:lang w:val="en-US" w:eastAsia="zh-CN" w:bidi="ar"/>
              </w:rPr>
              <w:t>2101199</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其他行政事业单位医疗支出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14.61</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14.61</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14.61</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住房保障支出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Calibri" w:hAnsi="Calibri" w:cs="Calibri"/>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60" w:hRule="atLeast"/>
        </w:trPr>
        <w:tc>
          <w:tcPr>
            <w:tcW w:w="514"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w:t>
            </w:r>
          </w:p>
        </w:tc>
        <w:tc>
          <w:tcPr>
            <w:tcW w:w="56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住房改革支出</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Calibri" w:hAnsi="Calibri" w:cs="Calibri"/>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51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default" w:ascii="Calibri" w:hAnsi="Calibri" w:cs="Calibri"/>
                <w:i w:val="0"/>
                <w:color w:val="000000"/>
                <w:sz w:val="18"/>
                <w:szCs w:val="18"/>
                <w:u w:val="none"/>
              </w:rPr>
            </w:pPr>
            <w:r>
              <w:rPr>
                <w:rFonts w:hint="default" w:ascii="Calibri" w:hAnsi="Calibri" w:eastAsia="宋体" w:cs="Calibri"/>
                <w:i w:val="0"/>
                <w:color w:val="000000"/>
                <w:kern w:val="0"/>
                <w:sz w:val="18"/>
                <w:szCs w:val="18"/>
                <w:u w:val="none"/>
                <w:lang w:val="en-US" w:eastAsia="zh-CN" w:bidi="ar"/>
              </w:rPr>
              <w:t>2210201</w:t>
            </w:r>
          </w:p>
        </w:tc>
        <w:tc>
          <w:tcPr>
            <w:tcW w:w="56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住房公积金</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29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Calibri" w:hAnsi="Calibri" w:cs="Calibri"/>
                <w:i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82.48</w:t>
            </w: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6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18"/>
                <w:szCs w:val="18"/>
                <w:u w:val="none"/>
              </w:rPr>
            </w:pP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6109" w:type="pct"/>
        <w:tblInd w:w="-999" w:type="dxa"/>
        <w:shd w:val="clear" w:color="auto" w:fill="auto"/>
        <w:tblLayout w:type="fixed"/>
        <w:tblCellMar>
          <w:top w:w="0" w:type="dxa"/>
          <w:left w:w="0" w:type="dxa"/>
          <w:bottom w:w="0" w:type="dxa"/>
          <w:right w:w="0" w:type="dxa"/>
        </w:tblCellMar>
      </w:tblPr>
      <w:tblGrid>
        <w:gridCol w:w="1050"/>
        <w:gridCol w:w="2695"/>
        <w:gridCol w:w="1340"/>
        <w:gridCol w:w="1155"/>
        <w:gridCol w:w="1125"/>
        <w:gridCol w:w="795"/>
        <w:gridCol w:w="922"/>
        <w:gridCol w:w="1103"/>
      </w:tblGrid>
      <w:tr>
        <w:tblPrEx>
          <w:shd w:val="clear" w:color="auto" w:fill="auto"/>
          <w:tblCellMar>
            <w:top w:w="0" w:type="dxa"/>
            <w:left w:w="0" w:type="dxa"/>
            <w:bottom w:w="0" w:type="dxa"/>
            <w:right w:w="0" w:type="dxa"/>
          </w:tblCellMar>
        </w:tblPrEx>
        <w:trPr>
          <w:trHeight w:val="420" w:hRule="atLeast"/>
        </w:trPr>
        <w:tc>
          <w:tcPr>
            <w:tcW w:w="5000" w:type="pct"/>
            <w:gridSpan w:val="8"/>
            <w:tcBorders>
              <w:top w:val="nil"/>
              <w:left w:val="nil"/>
              <w:bottom w:val="nil"/>
              <w:right w:val="nil"/>
            </w:tcBorders>
            <w:shd w:val="clear" w:color="auto" w:fill="auto"/>
            <w:noWrap/>
            <w:tcMar>
              <w:top w:w="15" w:type="dxa"/>
              <w:left w:w="15" w:type="dxa"/>
              <w:right w:w="15" w:type="dxa"/>
            </w:tcMar>
            <w:vAlign w:val="bottom"/>
          </w:tcPr>
          <w:p>
            <w:pPr>
              <w:jc w:val="left"/>
              <w:rPr>
                <w:rFonts w:hint="eastAsia" w:ascii="宋体" w:hAnsi="宋体" w:eastAsia="宋体" w:cs="宋体"/>
                <w:i w:val="0"/>
                <w:color w:val="000000"/>
                <w:kern w:val="0"/>
                <w:sz w:val="24"/>
                <w:szCs w:val="24"/>
                <w:u w:val="none"/>
                <w:lang w:val="en-US" w:eastAsia="zh-CN" w:bidi="ar"/>
              </w:rPr>
            </w:pPr>
          </w:p>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4"/>
                <w:szCs w:val="24"/>
                <w:u w:val="none"/>
                <w:lang w:val="en-US" w:eastAsia="zh-CN" w:bidi="ar"/>
              </w:rPr>
              <w:t>部门公开表3</w:t>
            </w:r>
          </w:p>
        </w:tc>
      </w:tr>
      <w:tr>
        <w:tblPrEx>
          <w:tblCellMar>
            <w:top w:w="0" w:type="dxa"/>
            <w:left w:w="0" w:type="dxa"/>
            <w:bottom w:w="0" w:type="dxa"/>
            <w:right w:w="0" w:type="dxa"/>
          </w:tblCellMar>
        </w:tblPrEx>
        <w:trPr>
          <w:trHeight w:val="585" w:hRule="atLeast"/>
        </w:trPr>
        <w:tc>
          <w:tcPr>
            <w:tcW w:w="5000" w:type="pct"/>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部门支出总表</w:t>
            </w:r>
          </w:p>
        </w:tc>
      </w:tr>
      <w:tr>
        <w:tblPrEx>
          <w:tblCellMar>
            <w:top w:w="0" w:type="dxa"/>
            <w:left w:w="0" w:type="dxa"/>
            <w:bottom w:w="0" w:type="dxa"/>
            <w:right w:w="0" w:type="dxa"/>
          </w:tblCellMar>
        </w:tblPrEx>
        <w:trPr>
          <w:trHeight w:val="555" w:hRule="atLeast"/>
        </w:trPr>
        <w:tc>
          <w:tcPr>
            <w:tcW w:w="5000" w:type="pct"/>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Arial"/>
                <w:color w:val="000000"/>
                <w:kern w:val="0"/>
                <w:sz w:val="24"/>
                <w:szCs w:val="24"/>
              </w:rPr>
              <w:t xml:space="preserve">填报单位:207景德镇市广播电视台 , 207001景德镇市广播电视台本级            </w:t>
            </w:r>
            <w:r>
              <w:rPr>
                <w:rFonts w:hint="eastAsia" w:ascii="宋体" w:hAnsi="宋体" w:cs="Arial"/>
                <w:color w:val="000000"/>
                <w:kern w:val="0"/>
                <w:sz w:val="24"/>
                <w:szCs w:val="24"/>
                <w:lang w:val="en-US" w:eastAsia="zh-CN"/>
              </w:rPr>
              <w:t xml:space="preserve"> </w:t>
            </w:r>
            <w:r>
              <w:rPr>
                <w:rFonts w:hint="eastAsia" w:ascii="宋体" w:hAnsi="宋体" w:eastAsia="宋体" w:cs="Arial"/>
                <w:color w:val="000000"/>
                <w:kern w:val="0"/>
                <w:sz w:val="24"/>
                <w:szCs w:val="24"/>
              </w:rPr>
              <w:t>单位：万元</w:t>
            </w:r>
          </w:p>
        </w:tc>
      </w:tr>
      <w:tr>
        <w:tblPrEx>
          <w:tblCellMar>
            <w:top w:w="0" w:type="dxa"/>
            <w:left w:w="0" w:type="dxa"/>
            <w:bottom w:w="0" w:type="dxa"/>
            <w:right w:w="0" w:type="dxa"/>
          </w:tblCellMar>
        </w:tblPrEx>
        <w:trPr>
          <w:trHeight w:val="420" w:hRule="atLeast"/>
        </w:trPr>
        <w:tc>
          <w:tcPr>
            <w:tcW w:w="183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支出功能分类科目</w:t>
            </w:r>
          </w:p>
        </w:tc>
        <w:tc>
          <w:tcPr>
            <w:tcW w:w="657" w:type="pct"/>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567" w:type="pct"/>
            <w:vMerge w:val="restar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基本支出</w:t>
            </w:r>
          </w:p>
        </w:tc>
        <w:tc>
          <w:tcPr>
            <w:tcW w:w="55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390" w:type="pct"/>
            <w:vMerge w:val="restart"/>
            <w:tcBorders>
              <w:top w:val="single" w:color="000000" w:sz="4" w:space="0"/>
              <w:left w:val="nil"/>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事业单位经营支出</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上缴上级支出 </w:t>
            </w:r>
          </w:p>
        </w:tc>
        <w:tc>
          <w:tcPr>
            <w:tcW w:w="541" w:type="pct"/>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对附属单位补助支出</w:t>
            </w: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科目编码</w:t>
            </w:r>
          </w:p>
        </w:tc>
        <w:tc>
          <w:tcPr>
            <w:tcW w:w="132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科目名称 </w:t>
            </w:r>
          </w:p>
        </w:tc>
        <w:tc>
          <w:tcPr>
            <w:tcW w:w="657" w:type="pct"/>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67" w:type="pct"/>
            <w:vMerge w:val="continue"/>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5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90" w:type="pct"/>
            <w:vMerge w:val="continue"/>
            <w:tcBorders>
              <w:top w:val="single" w:color="000000" w:sz="4" w:space="0"/>
              <w:left w:val="nil"/>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41" w:type="pct"/>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323"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657"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67"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52"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90"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52"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41"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CellMar>
            <w:top w:w="0" w:type="dxa"/>
            <w:left w:w="0" w:type="dxa"/>
            <w:bottom w:w="0" w:type="dxa"/>
            <w:right w:w="0" w:type="dxa"/>
          </w:tblCellMar>
        </w:tblPrEx>
        <w:trPr>
          <w:trHeight w:val="375"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32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2,296.19</w:t>
            </w:r>
          </w:p>
        </w:tc>
        <w:tc>
          <w:tcPr>
            <w:tcW w:w="56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2,284.19</w:t>
            </w:r>
          </w:p>
        </w:tc>
        <w:tc>
          <w:tcPr>
            <w:tcW w:w="5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12.00</w:t>
            </w:r>
          </w:p>
        </w:tc>
        <w:tc>
          <w:tcPr>
            <w:tcW w:w="3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文化旅游体育与传媒支出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2,096.06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2,084.06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3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广播电视</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2,096.06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2,084.06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39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360" w:firstLineChars="2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2070805</w:t>
            </w:r>
          </w:p>
        </w:tc>
        <w:tc>
          <w:tcPr>
            <w:tcW w:w="13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电视</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2,096.06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2,084.06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12.00 </w:t>
            </w: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right"/>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行政事业单位养老支出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right"/>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13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机关事业单位基本养老保险缴费支出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卫生健康支出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76.96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76.96</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行政事业单位医疗</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76.96</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76.96</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13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事业单位医疗</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62.35</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62.35</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default" w:ascii="Calibri" w:hAnsi="Calibri" w:cs="Calibri"/>
                <w:i w:val="0"/>
                <w:color w:val="000000"/>
                <w:sz w:val="18"/>
                <w:szCs w:val="18"/>
                <w:u w:val="none"/>
              </w:rPr>
            </w:pPr>
            <w:r>
              <w:rPr>
                <w:rFonts w:hint="default" w:ascii="Calibri" w:hAnsi="Calibri" w:eastAsia="宋体" w:cs="Calibri"/>
                <w:i w:val="0"/>
                <w:color w:val="000000"/>
                <w:kern w:val="0"/>
                <w:sz w:val="18"/>
                <w:szCs w:val="18"/>
                <w:u w:val="none"/>
                <w:lang w:val="en-US" w:eastAsia="zh-CN" w:bidi="ar"/>
              </w:rPr>
              <w:t>2101199</w:t>
            </w:r>
          </w:p>
        </w:tc>
        <w:tc>
          <w:tcPr>
            <w:tcW w:w="13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其他行政事业单位医疗支出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14.61</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14.61</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住房保障支出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ind w:firstLine="180" w:firstLineChars="10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w:t>
            </w:r>
          </w:p>
        </w:tc>
        <w:tc>
          <w:tcPr>
            <w:tcW w:w="1323" w:type="pct"/>
            <w:tcBorders>
              <w:top w:val="nil"/>
              <w:left w:val="single" w:color="000000" w:sz="8" w:space="0"/>
              <w:bottom w:val="single" w:color="000000" w:sz="8"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住房改革支出</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20" w:hRule="atLeast"/>
        </w:trPr>
        <w:tc>
          <w:tcPr>
            <w:tcW w:w="51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360" w:firstLineChars="200"/>
              <w:jc w:val="left"/>
              <w:textAlignment w:val="bottom"/>
              <w:rPr>
                <w:rFonts w:hint="default" w:ascii="Calibri" w:hAnsi="Calibri" w:cs="Calibri"/>
                <w:i w:val="0"/>
                <w:color w:val="000000"/>
                <w:sz w:val="18"/>
                <w:szCs w:val="18"/>
                <w:u w:val="none"/>
              </w:rPr>
            </w:pPr>
            <w:r>
              <w:rPr>
                <w:rFonts w:hint="default" w:ascii="Calibri" w:hAnsi="Calibri" w:eastAsia="宋体" w:cs="Calibri"/>
                <w:i w:val="0"/>
                <w:color w:val="000000"/>
                <w:kern w:val="0"/>
                <w:sz w:val="18"/>
                <w:szCs w:val="18"/>
                <w:u w:val="none"/>
                <w:lang w:val="en-US" w:eastAsia="zh-CN" w:bidi="ar"/>
              </w:rPr>
              <w:t>2210201</w:t>
            </w:r>
          </w:p>
        </w:tc>
        <w:tc>
          <w:tcPr>
            <w:tcW w:w="13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住房公积金</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6306" w:type="pct"/>
        <w:tblInd w:w="-1014" w:type="dxa"/>
        <w:shd w:val="clear" w:color="auto" w:fill="auto"/>
        <w:tblLayout w:type="fixed"/>
        <w:tblCellMar>
          <w:top w:w="0" w:type="dxa"/>
          <w:left w:w="0" w:type="dxa"/>
          <w:bottom w:w="0" w:type="dxa"/>
          <w:right w:w="0" w:type="dxa"/>
        </w:tblCellMar>
      </w:tblPr>
      <w:tblGrid>
        <w:gridCol w:w="15"/>
        <w:gridCol w:w="2277"/>
        <w:gridCol w:w="1543"/>
        <w:gridCol w:w="2456"/>
        <w:gridCol w:w="1513"/>
        <w:gridCol w:w="1363"/>
        <w:gridCol w:w="1331"/>
        <w:gridCol w:w="1"/>
        <w:gridCol w:w="14"/>
      </w:tblGrid>
      <w:tr>
        <w:tblPrEx>
          <w:shd w:val="clear" w:color="auto" w:fill="auto"/>
          <w:tblCellMar>
            <w:top w:w="0" w:type="dxa"/>
            <w:left w:w="0" w:type="dxa"/>
            <w:bottom w:w="0" w:type="dxa"/>
            <w:right w:w="0" w:type="dxa"/>
          </w:tblCellMar>
        </w:tblPrEx>
        <w:trPr>
          <w:gridBefore w:val="1"/>
          <w:trHeight w:val="390" w:hRule="atLeast"/>
        </w:trPr>
        <w:tc>
          <w:tcPr>
            <w:tcW w:w="5000" w:type="pct"/>
            <w:gridSpan w:val="8"/>
            <w:tcBorders>
              <w:top w:val="nil"/>
              <w:left w:val="nil"/>
              <w:bottom w:val="nil"/>
              <w:right w:val="nil"/>
            </w:tcBorders>
            <w:shd w:val="clear" w:color="auto" w:fill="auto"/>
            <w:noWrap/>
            <w:tcMar>
              <w:top w:w="15" w:type="dxa"/>
              <w:left w:w="15" w:type="dxa"/>
              <w:right w:w="15" w:type="dxa"/>
            </w:tcMar>
            <w:vAlign w:val="bottom"/>
          </w:tcPr>
          <w:p>
            <w:pPr>
              <w:jc w:val="left"/>
              <w:rPr>
                <w:rFonts w:hint="eastAsia" w:ascii="宋体" w:hAnsi="宋体" w:eastAsia="宋体" w:cs="宋体"/>
                <w:i w:val="0"/>
                <w:color w:val="000000"/>
                <w:kern w:val="0"/>
                <w:sz w:val="24"/>
                <w:szCs w:val="24"/>
                <w:u w:val="none"/>
                <w:lang w:val="en-US" w:eastAsia="zh-CN" w:bidi="ar"/>
              </w:rPr>
            </w:pPr>
          </w:p>
          <w:p>
            <w:pPr>
              <w:jc w:val="left"/>
              <w:rPr>
                <w:rFonts w:hint="eastAsia" w:ascii="宋体" w:hAnsi="宋体" w:eastAsia="宋体" w:cs="宋体"/>
                <w:i w:val="0"/>
                <w:color w:val="000000"/>
                <w:kern w:val="0"/>
                <w:sz w:val="24"/>
                <w:szCs w:val="24"/>
                <w:u w:val="none"/>
                <w:lang w:val="en-US" w:eastAsia="zh-CN" w:bidi="ar"/>
              </w:rPr>
            </w:pPr>
          </w:p>
          <w:p>
            <w:pPr>
              <w:jc w:val="left"/>
              <w:rPr>
                <w:rFonts w:hint="eastAsia" w:ascii="宋体" w:hAnsi="宋体" w:eastAsia="宋体" w:cs="宋体"/>
                <w:i w:val="0"/>
                <w:color w:val="000000"/>
                <w:kern w:val="0"/>
                <w:sz w:val="24"/>
                <w:szCs w:val="24"/>
                <w:u w:val="none"/>
                <w:lang w:val="en-US" w:eastAsia="zh-CN" w:bidi="ar"/>
              </w:rPr>
            </w:pPr>
          </w:p>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4"/>
                <w:szCs w:val="24"/>
                <w:u w:val="none"/>
                <w:lang w:val="en-US" w:eastAsia="zh-CN" w:bidi="ar"/>
              </w:rPr>
              <w:t>部门公开表4</w:t>
            </w:r>
          </w:p>
        </w:tc>
      </w:tr>
      <w:tr>
        <w:tblPrEx>
          <w:tblCellMar>
            <w:top w:w="0" w:type="dxa"/>
            <w:left w:w="0" w:type="dxa"/>
            <w:bottom w:w="0" w:type="dxa"/>
            <w:right w:w="0" w:type="dxa"/>
          </w:tblCellMar>
        </w:tblPrEx>
        <w:trPr>
          <w:gridBefore w:val="1"/>
          <w:trHeight w:val="585" w:hRule="atLeast"/>
        </w:trPr>
        <w:tc>
          <w:tcPr>
            <w:tcW w:w="5000" w:type="pct"/>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财政拨款收支总表</w:t>
            </w:r>
          </w:p>
        </w:tc>
      </w:tr>
      <w:tr>
        <w:tblPrEx>
          <w:tblCellMar>
            <w:top w:w="0" w:type="dxa"/>
            <w:left w:w="0" w:type="dxa"/>
            <w:bottom w:w="0" w:type="dxa"/>
            <w:right w:w="0" w:type="dxa"/>
          </w:tblCellMar>
        </w:tblPrEx>
        <w:trPr>
          <w:gridAfter w:val="2"/>
          <w:trHeight w:val="555" w:hRule="atLeast"/>
        </w:trPr>
        <w:tc>
          <w:tcPr>
            <w:tcW w:w="5000" w:type="pct"/>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4"/>
                <w:szCs w:val="24"/>
                <w:u w:val="none"/>
              </w:rPr>
            </w:pPr>
            <w:r>
              <w:rPr>
                <w:rFonts w:hint="eastAsia" w:ascii="宋体" w:hAnsi="宋体" w:eastAsia="宋体" w:cs="Arial"/>
                <w:color w:val="000000"/>
                <w:kern w:val="0"/>
                <w:sz w:val="24"/>
                <w:szCs w:val="24"/>
              </w:rPr>
              <w:t xml:space="preserve">填报单位:207景德镇市广播电视台 , 207001景德镇市广播电视台本级            </w:t>
            </w:r>
            <w:r>
              <w:rPr>
                <w:rFonts w:hint="eastAsia" w:ascii="宋体" w:hAnsi="宋体" w:cs="Arial"/>
                <w:color w:val="000000"/>
                <w:kern w:val="0"/>
                <w:sz w:val="24"/>
                <w:szCs w:val="24"/>
                <w:lang w:val="en-US" w:eastAsia="zh-CN"/>
              </w:rPr>
              <w:t xml:space="preserve">  </w:t>
            </w:r>
            <w:r>
              <w:rPr>
                <w:rFonts w:hint="eastAsia" w:ascii="宋体" w:hAnsi="宋体" w:eastAsia="宋体" w:cs="Arial"/>
                <w:color w:val="000000"/>
                <w:kern w:val="0"/>
                <w:sz w:val="24"/>
                <w:szCs w:val="24"/>
              </w:rPr>
              <w:t>单位：万元</w:t>
            </w: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      入</w:t>
            </w:r>
          </w:p>
        </w:tc>
        <w:tc>
          <w:tcPr>
            <w:tcW w:w="735" w:type="pct"/>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178" w:type="pct"/>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支出 </w:t>
            </w: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735" w:type="pct"/>
            <w:tcBorders>
              <w:top w:val="single" w:color="000000" w:sz="4" w:space="0"/>
              <w:left w:val="nil"/>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预算数</w:t>
            </w:r>
          </w:p>
        </w:tc>
        <w:tc>
          <w:tcPr>
            <w:tcW w:w="1171"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项目(按支出功能科目类级)</w:t>
            </w:r>
          </w:p>
        </w:tc>
        <w:tc>
          <w:tcPr>
            <w:tcW w:w="721"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650"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一般公共预算支出</w:t>
            </w:r>
          </w:p>
        </w:tc>
        <w:tc>
          <w:tcPr>
            <w:tcW w:w="635" w:type="pct"/>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政府性基金预算支出</w:t>
            </w: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一、财政拨款收入</w:t>
            </w:r>
          </w:p>
        </w:tc>
        <w:tc>
          <w:tcPr>
            <w:tcW w:w="735" w:type="pct"/>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r>
              <w:rPr>
                <w:rFonts w:hint="eastAsia" w:ascii="宋体" w:hAnsi="宋体" w:cs="宋体"/>
                <w:i w:val="0"/>
                <w:color w:val="000000"/>
                <w:kern w:val="0"/>
                <w:sz w:val="24"/>
                <w:szCs w:val="24"/>
                <w:u w:val="none"/>
                <w:lang w:val="en-US" w:eastAsia="zh-CN" w:bidi="ar"/>
              </w:rPr>
              <w:t>81</w:t>
            </w:r>
            <w:r>
              <w:rPr>
                <w:rFonts w:hint="eastAsia" w:ascii="宋体" w:hAnsi="宋体" w:eastAsia="宋体" w:cs="宋体"/>
                <w:i w:val="0"/>
                <w:color w:val="000000"/>
                <w:kern w:val="0"/>
                <w:sz w:val="24"/>
                <w:szCs w:val="24"/>
                <w:u w:val="none"/>
                <w:lang w:val="en-US" w:eastAsia="zh-CN" w:bidi="ar"/>
              </w:rPr>
              <w:t>.45</w:t>
            </w:r>
          </w:p>
        </w:tc>
        <w:tc>
          <w:tcPr>
            <w:tcW w:w="1171"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一、本年支出</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2,0</w:t>
            </w:r>
            <w:r>
              <w:rPr>
                <w:rFonts w:hint="eastAsia" w:ascii="宋体" w:hAnsi="宋体" w:cs="宋体"/>
                <w:i w:val="0"/>
                <w:color w:val="000000"/>
                <w:kern w:val="0"/>
                <w:sz w:val="24"/>
                <w:szCs w:val="24"/>
                <w:u w:val="none"/>
                <w:lang w:val="en-US" w:eastAsia="zh-CN" w:bidi="ar"/>
              </w:rPr>
              <w:t>81</w:t>
            </w:r>
            <w:r>
              <w:rPr>
                <w:rFonts w:hint="eastAsia" w:ascii="宋体" w:hAnsi="宋体" w:eastAsia="宋体" w:cs="宋体"/>
                <w:i w:val="0"/>
                <w:color w:val="000000"/>
                <w:kern w:val="0"/>
                <w:sz w:val="24"/>
                <w:szCs w:val="24"/>
                <w:u w:val="none"/>
                <w:lang w:val="en-US" w:eastAsia="zh-CN" w:bidi="ar"/>
              </w:rPr>
              <w:t>.45</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r>
              <w:rPr>
                <w:rFonts w:hint="eastAsia" w:ascii="宋体" w:hAnsi="宋体" w:cs="宋体"/>
                <w:i w:val="0"/>
                <w:color w:val="000000"/>
                <w:kern w:val="0"/>
                <w:sz w:val="24"/>
                <w:szCs w:val="24"/>
                <w:u w:val="none"/>
                <w:lang w:val="en-US" w:eastAsia="zh-CN" w:bidi="ar"/>
              </w:rPr>
              <w:t>81</w:t>
            </w:r>
            <w:r>
              <w:rPr>
                <w:rFonts w:hint="eastAsia" w:ascii="宋体" w:hAnsi="宋体" w:eastAsia="宋体" w:cs="宋体"/>
                <w:i w:val="0"/>
                <w:color w:val="000000"/>
                <w:kern w:val="0"/>
                <w:sz w:val="24"/>
                <w:szCs w:val="24"/>
                <w:u w:val="none"/>
                <w:lang w:val="en-US" w:eastAsia="zh-CN" w:bidi="ar"/>
              </w:rPr>
              <w:t>.45</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一般公共预算拨款收入</w:t>
            </w:r>
          </w:p>
        </w:tc>
        <w:tc>
          <w:tcPr>
            <w:tcW w:w="735" w:type="pct"/>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2,069.45</w:t>
            </w:r>
          </w:p>
        </w:tc>
        <w:tc>
          <w:tcPr>
            <w:tcW w:w="11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文化旅游体育与传媒支出</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1,881.32</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1,881.32</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专项收入</w:t>
            </w:r>
          </w:p>
        </w:tc>
        <w:tc>
          <w:tcPr>
            <w:tcW w:w="735" w:type="pct"/>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社会保障和就业支出</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40.69</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40.69</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政府性基金预算拨款收入</w:t>
            </w:r>
          </w:p>
        </w:tc>
        <w:tc>
          <w:tcPr>
            <w:tcW w:w="735" w:type="pct"/>
            <w:tcBorders>
              <w:top w:val="single" w:color="000000" w:sz="4" w:space="0"/>
              <w:left w:val="nil"/>
              <w:bottom w:val="nil"/>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卫生健康支出</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76.96</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76.96</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预留其他</w:t>
            </w: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12.00</w:t>
            </w:r>
          </w:p>
        </w:tc>
        <w:tc>
          <w:tcPr>
            <w:tcW w:w="117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住房保障支出</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82.48</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82.48</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90"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二、上年结转</w:t>
            </w: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二、结转下年</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一般公共预算拨款结转</w:t>
            </w: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政府性基金预算拨款结转</w:t>
            </w:r>
          </w:p>
        </w:tc>
        <w:tc>
          <w:tcPr>
            <w:tcW w:w="735"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735"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gridBefore w:val="1"/>
          <w:gridAfter w:val="1"/>
          <w:trHeight w:val="345" w:hRule="atLeast"/>
        </w:trPr>
        <w:tc>
          <w:tcPr>
            <w:tcW w:w="108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收入总计</w:t>
            </w:r>
          </w:p>
        </w:tc>
        <w:tc>
          <w:tcPr>
            <w:tcW w:w="735" w:type="pct"/>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2,081.45</w:t>
            </w:r>
          </w:p>
        </w:tc>
        <w:tc>
          <w:tcPr>
            <w:tcW w:w="117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支出总计</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2,081.45</w:t>
            </w:r>
          </w:p>
        </w:tc>
        <w:tc>
          <w:tcPr>
            <w:tcW w:w="6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2,081.45</w:t>
            </w:r>
          </w:p>
        </w:tc>
        <w:tc>
          <w:tcPr>
            <w:tcW w:w="63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5902" w:type="pct"/>
        <w:tblInd w:w="-669" w:type="dxa"/>
        <w:shd w:val="clear" w:color="auto" w:fill="auto"/>
        <w:tblLayout w:type="fixed"/>
        <w:tblCellMar>
          <w:top w:w="0" w:type="dxa"/>
          <w:left w:w="0" w:type="dxa"/>
          <w:bottom w:w="0" w:type="dxa"/>
          <w:right w:w="0" w:type="dxa"/>
        </w:tblCellMar>
      </w:tblPr>
      <w:tblGrid>
        <w:gridCol w:w="1214"/>
        <w:gridCol w:w="4629"/>
        <w:gridCol w:w="1387"/>
        <w:gridCol w:w="1335"/>
        <w:gridCol w:w="1275"/>
      </w:tblGrid>
      <w:tr>
        <w:tblPrEx>
          <w:shd w:val="clear" w:color="auto" w:fill="auto"/>
          <w:tblCellMar>
            <w:top w:w="0" w:type="dxa"/>
            <w:left w:w="0" w:type="dxa"/>
            <w:bottom w:w="0" w:type="dxa"/>
            <w:right w:w="0" w:type="dxa"/>
          </w:tblCellMar>
        </w:tblPrEx>
        <w:trPr>
          <w:trHeight w:val="420" w:hRule="atLeast"/>
        </w:trPr>
        <w:tc>
          <w:tcPr>
            <w:tcW w:w="2969" w:type="pct"/>
            <w:gridSpan w:val="2"/>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kern w:val="0"/>
                <w:sz w:val="24"/>
                <w:szCs w:val="24"/>
                <w:u w:val="none"/>
                <w:lang w:val="en-US" w:eastAsia="zh-CN" w:bidi="ar"/>
              </w:rPr>
            </w:pPr>
          </w:p>
          <w:p>
            <w:pP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部门公开表5</w:t>
            </w:r>
          </w:p>
        </w:tc>
        <w:tc>
          <w:tcPr>
            <w:tcW w:w="704"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678"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c>
          <w:tcPr>
            <w:tcW w:w="647"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5"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一般公共预算支出表</w:t>
            </w:r>
          </w:p>
        </w:tc>
      </w:tr>
      <w:tr>
        <w:tblPrEx>
          <w:tblCellMar>
            <w:top w:w="0" w:type="dxa"/>
            <w:left w:w="0" w:type="dxa"/>
            <w:bottom w:w="0" w:type="dxa"/>
            <w:right w:w="0" w:type="dxa"/>
          </w:tblCellMar>
        </w:tblPrEx>
        <w:trPr>
          <w:trHeight w:val="675"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Arial"/>
                <w:color w:val="000000"/>
                <w:kern w:val="0"/>
                <w:sz w:val="24"/>
                <w:szCs w:val="24"/>
              </w:rPr>
              <w:t xml:space="preserve">填报单位:207景德镇市广播电视台 , 207001景德镇市广播电视台本级         </w:t>
            </w:r>
            <w:r>
              <w:rPr>
                <w:rFonts w:hint="eastAsia" w:ascii="宋体" w:hAnsi="宋体" w:cs="Arial"/>
                <w:color w:val="000000"/>
                <w:kern w:val="0"/>
                <w:sz w:val="24"/>
                <w:szCs w:val="24"/>
                <w:lang w:val="en-US" w:eastAsia="zh-CN"/>
              </w:rPr>
              <w:t xml:space="preserve"> </w:t>
            </w:r>
            <w:r>
              <w:rPr>
                <w:rFonts w:hint="eastAsia" w:ascii="宋体" w:hAnsi="宋体" w:eastAsia="宋体" w:cs="Arial"/>
                <w:color w:val="000000"/>
                <w:kern w:val="0"/>
                <w:sz w:val="24"/>
                <w:szCs w:val="24"/>
              </w:rPr>
              <w:t>单位：万元</w:t>
            </w:r>
          </w:p>
        </w:tc>
      </w:tr>
      <w:tr>
        <w:tblPrEx>
          <w:tblCellMar>
            <w:top w:w="0" w:type="dxa"/>
            <w:left w:w="0" w:type="dxa"/>
            <w:bottom w:w="0" w:type="dxa"/>
            <w:right w:w="0" w:type="dxa"/>
          </w:tblCellMar>
        </w:tblPrEx>
        <w:trPr>
          <w:trHeight w:val="345" w:hRule="atLeast"/>
        </w:trPr>
        <w:tc>
          <w:tcPr>
            <w:tcW w:w="2969" w:type="pct"/>
            <w:gridSpan w:val="2"/>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支出功能分类科目</w:t>
            </w:r>
          </w:p>
        </w:tc>
        <w:tc>
          <w:tcPr>
            <w:tcW w:w="2030" w:type="pct"/>
            <w:gridSpan w:val="3"/>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2020年预算数</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科目编码</w:t>
            </w:r>
          </w:p>
        </w:tc>
        <w:tc>
          <w:tcPr>
            <w:tcW w:w="23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科目名称 </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基本支出</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23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color w:val="000000"/>
                <w:sz w:val="20"/>
                <w:szCs w:val="20"/>
                <w:u w:val="none"/>
              </w:rPr>
            </w:pPr>
          </w:p>
        </w:tc>
        <w:tc>
          <w:tcPr>
            <w:tcW w:w="235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合计</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2,081.45</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2,069.45</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xml:space="preserve">12.00 </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207</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文化旅游体育与传媒支出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1,881.32</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1,869.32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xml:space="preserve">12.00 </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00" w:firstLineChars="10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08</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广播电视</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1,881.32</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1,869.32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xml:space="preserve">12.00 </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00" w:firstLineChars="20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2070805</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电视</w:t>
            </w:r>
          </w:p>
        </w:tc>
        <w:tc>
          <w:tcPr>
            <w:tcW w:w="70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1,881.32</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1,869.32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xml:space="preserve">12.00 </w:t>
            </w: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208</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社会保障和就业支出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00" w:firstLineChars="10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05</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行政事业单位养老支出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400" w:firstLineChars="200"/>
              <w:jc w:val="lef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2080505</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机关事业单位基本养老保险缴费支出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40.69</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210</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卫生健康支出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76.96</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76.96</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00" w:firstLineChars="10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11</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行政事业单位医疗</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76.96</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76.96</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400" w:firstLineChars="200"/>
              <w:jc w:val="lef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2101102</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事业单位医疗</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62.35</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62.35</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400" w:firstLineChars="200"/>
              <w:jc w:val="lef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2101199</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其他行政事业单位医疗支出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14.61</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14.61</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221</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住房保障支出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00" w:firstLineChars="10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02</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住房改革支出</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r>
        <w:tblPrEx>
          <w:tblCellMar>
            <w:top w:w="0" w:type="dxa"/>
            <w:left w:w="0" w:type="dxa"/>
            <w:bottom w:w="0" w:type="dxa"/>
            <w:right w:w="0" w:type="dxa"/>
          </w:tblCellMar>
        </w:tblPrEx>
        <w:trPr>
          <w:trHeight w:val="420" w:hRule="atLeast"/>
        </w:trPr>
        <w:tc>
          <w:tcPr>
            <w:tcW w:w="61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widowControl/>
              <w:suppressLineNumbers w:val="0"/>
              <w:ind w:firstLine="400" w:firstLineChars="200"/>
              <w:jc w:val="left"/>
              <w:textAlignment w:val="bottom"/>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2210201</w:t>
            </w:r>
          </w:p>
        </w:tc>
        <w:tc>
          <w:tcPr>
            <w:tcW w:w="235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　　住房公积金</w:t>
            </w:r>
          </w:p>
        </w:tc>
        <w:tc>
          <w:tcPr>
            <w:tcW w:w="70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7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color w:val="000000"/>
                <w:sz w:val="20"/>
                <w:szCs w:val="20"/>
                <w:u w:val="none"/>
              </w:rPr>
            </w:pPr>
            <w:r>
              <w:rPr>
                <w:rFonts w:hint="eastAsia" w:asciiTheme="minorEastAsia" w:hAnsiTheme="minorEastAsia" w:eastAsiaTheme="minorEastAsia" w:cstheme="minorEastAsia"/>
                <w:i w:val="0"/>
                <w:color w:val="000000"/>
                <w:kern w:val="0"/>
                <w:sz w:val="20"/>
                <w:szCs w:val="20"/>
                <w:u w:val="none"/>
                <w:lang w:val="en-US" w:eastAsia="zh-CN" w:bidi="ar"/>
              </w:rPr>
              <w:t>82.48</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Theme="minorEastAsia" w:hAnsiTheme="minorEastAsia" w:eastAsiaTheme="minorEastAsia" w:cstheme="minorEastAsia"/>
                <w:i w:val="0"/>
                <w:color w:val="000000"/>
                <w:sz w:val="20"/>
                <w:szCs w:val="20"/>
                <w:u w:val="none"/>
              </w:rPr>
            </w:pP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5875" w:type="pct"/>
        <w:tblInd w:w="-654" w:type="dxa"/>
        <w:shd w:val="clear" w:color="auto" w:fill="auto"/>
        <w:tblLayout w:type="fixed"/>
        <w:tblCellMar>
          <w:top w:w="0" w:type="dxa"/>
          <w:left w:w="0" w:type="dxa"/>
          <w:bottom w:w="0" w:type="dxa"/>
          <w:right w:w="0" w:type="dxa"/>
        </w:tblCellMar>
      </w:tblPr>
      <w:tblGrid>
        <w:gridCol w:w="1652"/>
        <w:gridCol w:w="3190"/>
        <w:gridCol w:w="1908"/>
        <w:gridCol w:w="1815"/>
        <w:gridCol w:w="1230"/>
      </w:tblGrid>
      <w:tr>
        <w:tblPrEx>
          <w:shd w:val="clear" w:color="auto" w:fill="auto"/>
          <w:tblCellMar>
            <w:top w:w="0" w:type="dxa"/>
            <w:left w:w="0" w:type="dxa"/>
            <w:bottom w:w="0" w:type="dxa"/>
            <w:right w:w="0" w:type="dxa"/>
          </w:tblCellMar>
        </w:tblPrEx>
        <w:trPr>
          <w:trHeight w:val="876"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both"/>
              <w:textAlignment w:val="center"/>
              <w:rPr>
                <w:rFonts w:hint="default" w:ascii="宋体" w:hAnsi="宋体" w:eastAsia="宋体" w:cs="宋体"/>
                <w:b/>
                <w:i w:val="0"/>
                <w:color w:val="000000"/>
                <w:kern w:val="0"/>
                <w:sz w:val="44"/>
                <w:szCs w:val="44"/>
                <w:u w:val="none"/>
                <w:lang w:val="en-US" w:eastAsia="zh-CN" w:bidi="ar"/>
              </w:rPr>
            </w:pPr>
            <w:r>
              <w:rPr>
                <w:rFonts w:hint="eastAsia" w:ascii="宋体" w:hAnsi="宋体" w:eastAsia="宋体" w:cs="宋体"/>
                <w:i w:val="0"/>
                <w:color w:val="000000"/>
                <w:kern w:val="0"/>
                <w:sz w:val="24"/>
                <w:szCs w:val="24"/>
                <w:u w:val="none"/>
                <w:lang w:val="en-US" w:eastAsia="zh-CN" w:bidi="ar"/>
              </w:rPr>
              <w:t>部门公开表</w:t>
            </w:r>
            <w:r>
              <w:rPr>
                <w:rFonts w:hint="eastAsia" w:ascii="宋体" w:hAnsi="宋体" w:cs="宋体"/>
                <w:i w:val="0"/>
                <w:color w:val="000000"/>
                <w:kern w:val="0"/>
                <w:sz w:val="24"/>
                <w:szCs w:val="24"/>
                <w:u w:val="none"/>
                <w:lang w:val="en-US" w:eastAsia="zh-CN" w:bidi="ar"/>
              </w:rPr>
              <w:t>6</w:t>
            </w:r>
          </w:p>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一般公共预算基本支出表</w:t>
            </w:r>
          </w:p>
        </w:tc>
      </w:tr>
      <w:tr>
        <w:tblPrEx>
          <w:tblCellMar>
            <w:top w:w="0" w:type="dxa"/>
            <w:left w:w="0" w:type="dxa"/>
            <w:bottom w:w="0" w:type="dxa"/>
            <w:right w:w="0" w:type="dxa"/>
          </w:tblCellMar>
        </w:tblPrEx>
        <w:trPr>
          <w:trHeight w:val="480"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填报单位:207景德镇市广播电视台 , 207001景德镇市广播电视台本级</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单位：万元</w:t>
            </w:r>
          </w:p>
        </w:tc>
      </w:tr>
      <w:tr>
        <w:tblPrEx>
          <w:tblCellMar>
            <w:top w:w="0" w:type="dxa"/>
            <w:left w:w="0" w:type="dxa"/>
            <w:bottom w:w="0" w:type="dxa"/>
            <w:right w:w="0" w:type="dxa"/>
          </w:tblCellMar>
        </w:tblPrEx>
        <w:trPr>
          <w:trHeight w:val="212" w:hRule="atLeast"/>
        </w:trPr>
        <w:tc>
          <w:tcPr>
            <w:tcW w:w="2471"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支出经济分类科目</w:t>
            </w:r>
          </w:p>
        </w:tc>
        <w:tc>
          <w:tcPr>
            <w:tcW w:w="2528"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2020年基本支出</w:t>
            </w:r>
          </w:p>
        </w:tc>
      </w:tr>
      <w:tr>
        <w:tblPrEx>
          <w:tblCellMar>
            <w:top w:w="0" w:type="dxa"/>
            <w:left w:w="0" w:type="dxa"/>
            <w:bottom w:w="0" w:type="dxa"/>
            <w:right w:w="0" w:type="dxa"/>
          </w:tblCellMar>
        </w:tblPrEx>
        <w:trPr>
          <w:trHeight w:val="192" w:hRule="atLeast"/>
        </w:trPr>
        <w:tc>
          <w:tcPr>
            <w:tcW w:w="84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科目编码</w:t>
            </w:r>
          </w:p>
        </w:tc>
        <w:tc>
          <w:tcPr>
            <w:tcW w:w="1628" w:type="pc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科目名称 </w:t>
            </w:r>
          </w:p>
        </w:tc>
        <w:tc>
          <w:tcPr>
            <w:tcW w:w="97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926"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人员经费</w:t>
            </w:r>
          </w:p>
        </w:tc>
        <w:tc>
          <w:tcPr>
            <w:tcW w:w="627"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公用经费</w:t>
            </w:r>
          </w:p>
        </w:tc>
      </w:tr>
      <w:tr>
        <w:tblPrEx>
          <w:tblCellMar>
            <w:top w:w="0" w:type="dxa"/>
            <w:left w:w="0" w:type="dxa"/>
            <w:bottom w:w="0" w:type="dxa"/>
            <w:right w:w="0" w:type="dxa"/>
          </w:tblCellMar>
        </w:tblPrEx>
        <w:trPr>
          <w:trHeight w:val="125" w:hRule="atLeast"/>
        </w:trPr>
        <w:tc>
          <w:tcPr>
            <w:tcW w:w="843"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628"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973"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926"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627"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tblCellMar>
            <w:top w:w="0" w:type="dxa"/>
            <w:left w:w="0" w:type="dxa"/>
            <w:bottom w:w="0" w:type="dxa"/>
            <w:right w:w="0" w:type="dxa"/>
          </w:tblCellMar>
        </w:tblPrEx>
        <w:trPr>
          <w:trHeight w:val="10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left"/>
              <w:rPr>
                <w:rFonts w:hint="eastAsia" w:ascii="宋体" w:hAnsi="宋体" w:eastAsia="宋体" w:cs="宋体"/>
                <w:i w:val="0"/>
                <w:color w:val="000000"/>
                <w:sz w:val="20"/>
                <w:szCs w:val="20"/>
                <w:u w:val="none"/>
              </w:rPr>
            </w:pP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2,069.45</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1,730.55</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338.90</w:t>
            </w:r>
          </w:p>
        </w:tc>
      </w:tr>
      <w:tr>
        <w:tblPrEx>
          <w:tblCellMar>
            <w:top w:w="0" w:type="dxa"/>
            <w:left w:w="0" w:type="dxa"/>
            <w:bottom w:w="0" w:type="dxa"/>
            <w:right w:w="0" w:type="dxa"/>
          </w:tblCellMar>
        </w:tblPrEx>
        <w:trPr>
          <w:trHeight w:val="12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left"/>
              <w:rPr>
                <w:rFonts w:hint="eastAsia" w:ascii="宋体" w:hAnsi="宋体" w:eastAsia="宋体" w:cs="宋体"/>
                <w:i w:val="0"/>
                <w:color w:val="000000"/>
                <w:sz w:val="20"/>
                <w:szCs w:val="20"/>
                <w:u w:val="none"/>
              </w:rPr>
            </w:pP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工资福利支出</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1,368.34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1,368.34</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4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3010101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基本工资</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456.98</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456.98</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15"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3010102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预留调资</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9.45</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9.45</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5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3010201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机关规范津补贴</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12.57</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12.57</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6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30107</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绩效工资</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304.21</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304.21</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1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30108</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机关事业单位基本养老保险缴费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40.69</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3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30110</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职工基本医疗保险缴费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62.35</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62.35</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4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其他社会保障缴费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14.61</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14.61</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85"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30113</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住房公积金</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82.48</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0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3019902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聘用人员工资</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385.00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385.00</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6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left"/>
              <w:rPr>
                <w:rFonts w:hint="eastAsia" w:ascii="宋体" w:hAnsi="宋体" w:eastAsia="宋体" w:cs="宋体"/>
                <w:i w:val="0"/>
                <w:color w:val="000000"/>
                <w:sz w:val="20"/>
                <w:szCs w:val="20"/>
                <w:u w:val="none"/>
              </w:rPr>
            </w:pP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商品和服务支出</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259.64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259.64</w:t>
            </w:r>
          </w:p>
        </w:tc>
      </w:tr>
      <w:tr>
        <w:tblPrEx>
          <w:tblCellMar>
            <w:top w:w="0" w:type="dxa"/>
            <w:left w:w="0" w:type="dxa"/>
            <w:bottom w:w="0" w:type="dxa"/>
            <w:right w:w="0" w:type="dxa"/>
          </w:tblCellMar>
        </w:tblPrEx>
        <w:trPr>
          <w:trHeight w:val="20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3020101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办公费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32.74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32.74</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印刷费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3.79</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3.79</w:t>
            </w:r>
          </w:p>
        </w:tc>
      </w:tr>
      <w:tr>
        <w:tblPrEx>
          <w:tblCellMar>
            <w:top w:w="0" w:type="dxa"/>
            <w:left w:w="0" w:type="dxa"/>
            <w:bottom w:w="0" w:type="dxa"/>
            <w:right w:w="0" w:type="dxa"/>
          </w:tblCellMar>
        </w:tblPrEx>
        <w:trPr>
          <w:trHeight w:val="19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30203</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咨询费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r>
      <w:tr>
        <w:tblPrEx>
          <w:tblCellMar>
            <w:top w:w="0" w:type="dxa"/>
            <w:left w:w="0" w:type="dxa"/>
            <w:bottom w:w="0" w:type="dxa"/>
            <w:right w:w="0" w:type="dxa"/>
          </w:tblCellMar>
        </w:tblPrEx>
        <w:trPr>
          <w:trHeight w:val="9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30205</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水费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4.83</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4.83</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30206</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电费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26.14</w:t>
            </w:r>
          </w:p>
        </w:tc>
      </w:tr>
      <w:tr>
        <w:tblPrEx>
          <w:tblCellMar>
            <w:top w:w="0" w:type="dxa"/>
            <w:left w:w="0" w:type="dxa"/>
            <w:bottom w:w="0" w:type="dxa"/>
            <w:right w:w="0" w:type="dxa"/>
          </w:tblCellMar>
        </w:tblPrEx>
        <w:trPr>
          <w:trHeight w:val="185"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30207</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邮电费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9.50</w:t>
            </w:r>
          </w:p>
        </w:tc>
      </w:tr>
      <w:tr>
        <w:tblPrEx>
          <w:tblCellMar>
            <w:top w:w="0" w:type="dxa"/>
            <w:left w:w="0" w:type="dxa"/>
            <w:bottom w:w="0" w:type="dxa"/>
            <w:right w:w="0" w:type="dxa"/>
          </w:tblCellMar>
        </w:tblPrEx>
        <w:trPr>
          <w:trHeight w:val="16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30209</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物业管理费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5.02</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5.02</w:t>
            </w:r>
          </w:p>
        </w:tc>
      </w:tr>
      <w:tr>
        <w:tblPrEx>
          <w:tblCellMar>
            <w:top w:w="0" w:type="dxa"/>
            <w:left w:w="0" w:type="dxa"/>
            <w:bottom w:w="0" w:type="dxa"/>
            <w:right w:w="0" w:type="dxa"/>
          </w:tblCellMar>
        </w:tblPrEx>
        <w:trPr>
          <w:trHeight w:val="18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差旅费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3.50</w:t>
            </w:r>
          </w:p>
        </w:tc>
      </w:tr>
      <w:tr>
        <w:tblPrEx>
          <w:tblCellMar>
            <w:top w:w="0" w:type="dxa"/>
            <w:left w:w="0" w:type="dxa"/>
            <w:bottom w:w="0" w:type="dxa"/>
            <w:right w:w="0" w:type="dxa"/>
          </w:tblCellMar>
        </w:tblPrEx>
        <w:trPr>
          <w:trHeight w:val="11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因公出国（境）费用</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2.50</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30213</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维修（护）费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10.50</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30217</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公务接待费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2.63</w:t>
            </w:r>
          </w:p>
        </w:tc>
      </w:tr>
      <w:tr>
        <w:tblPrEx>
          <w:tblCellMar>
            <w:top w:w="0" w:type="dxa"/>
            <w:left w:w="0" w:type="dxa"/>
            <w:bottom w:w="0" w:type="dxa"/>
            <w:right w:w="0" w:type="dxa"/>
          </w:tblCellMar>
        </w:tblPrEx>
        <w:trPr>
          <w:trHeight w:val="14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30226</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劳务费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6.50</w:t>
            </w:r>
          </w:p>
        </w:tc>
      </w:tr>
      <w:tr>
        <w:tblPrEx>
          <w:tblCellMar>
            <w:top w:w="0" w:type="dxa"/>
            <w:left w:w="0" w:type="dxa"/>
            <w:bottom w:w="0" w:type="dxa"/>
            <w:right w:w="0" w:type="dxa"/>
          </w:tblCellMar>
        </w:tblPrEx>
        <w:trPr>
          <w:trHeight w:val="11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30227</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委托业务费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71.50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71.50</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公务用车运行维护费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5.00</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3023901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在职公务交通补贴</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66.95</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66.95</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3029902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离退休人员公用经费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7.54</w:t>
            </w: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left"/>
              <w:rPr>
                <w:rFonts w:hint="eastAsia" w:ascii="宋体" w:hAnsi="宋体" w:eastAsia="宋体" w:cs="宋体"/>
                <w:i w:val="0"/>
                <w:color w:val="000000"/>
                <w:sz w:val="20"/>
                <w:szCs w:val="20"/>
                <w:u w:val="none"/>
              </w:rPr>
            </w:pP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对个人和家庭的补助</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362.21</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362.21</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6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3030201</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基本退休费</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149.98</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149.98</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21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3030202</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退休生活补贴</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110.52</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110.52</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67"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30305</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生活补助</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1.69</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30309</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奖励金</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44.18</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44.18</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90"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30399</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其他对个人和家庭的补助</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55.84</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55.84</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18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left"/>
              <w:rPr>
                <w:rFonts w:hint="eastAsia" w:ascii="宋体" w:hAnsi="宋体" w:eastAsia="宋体" w:cs="宋体"/>
                <w:i w:val="0"/>
                <w:color w:val="000000"/>
                <w:sz w:val="20"/>
                <w:szCs w:val="20"/>
                <w:u w:val="none"/>
              </w:rPr>
            </w:pP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资本性支出</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79.26</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79.26</w:t>
            </w:r>
          </w:p>
        </w:tc>
      </w:tr>
      <w:tr>
        <w:tblPrEx>
          <w:tblCellMar>
            <w:top w:w="0" w:type="dxa"/>
            <w:left w:w="0" w:type="dxa"/>
            <w:bottom w:w="0" w:type="dxa"/>
            <w:right w:w="0" w:type="dxa"/>
          </w:tblCellMar>
        </w:tblPrEx>
        <w:trPr>
          <w:trHeight w:val="162" w:hRule="atLeast"/>
        </w:trPr>
        <w:tc>
          <w:tcPr>
            <w:tcW w:w="84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31099</w:t>
            </w:r>
          </w:p>
        </w:tc>
        <w:tc>
          <w:tcPr>
            <w:tcW w:w="162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其他资本性支出</w:t>
            </w:r>
          </w:p>
        </w:tc>
        <w:tc>
          <w:tcPr>
            <w:tcW w:w="973"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79.26</w:t>
            </w:r>
          </w:p>
        </w:tc>
        <w:tc>
          <w:tcPr>
            <w:tcW w:w="9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40" w:lineRule="atLeast"/>
              <w:jc w:val="right"/>
              <w:rPr>
                <w:rFonts w:hint="eastAsia" w:ascii="宋体" w:hAnsi="宋体" w:eastAsia="宋体" w:cs="宋体"/>
                <w:i w:val="0"/>
                <w:color w:val="000000"/>
                <w:sz w:val="20"/>
                <w:szCs w:val="20"/>
                <w:u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79.26</w:t>
            </w:r>
          </w:p>
        </w:tc>
      </w:tr>
    </w:tbl>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p>
      <w:pPr>
        <w:rPr>
          <w:rFonts w:hint="default" w:ascii="仿宋_GB2312" w:hAnsi="仿宋_GB2312" w:eastAsia="仿宋_GB2312" w:cs="仿宋_GB2312"/>
          <w:sz w:val="32"/>
          <w:szCs w:val="32"/>
          <w:lang w:val="en-US" w:eastAsia="zh-CN"/>
        </w:rPr>
      </w:pPr>
    </w:p>
    <w:tbl>
      <w:tblPr>
        <w:tblStyle w:val="6"/>
        <w:tblW w:w="5866" w:type="pct"/>
        <w:tblInd w:w="-654" w:type="dxa"/>
        <w:shd w:val="clear" w:color="auto" w:fill="auto"/>
        <w:tblLayout w:type="fixed"/>
        <w:tblCellMar>
          <w:top w:w="0" w:type="dxa"/>
          <w:left w:w="0" w:type="dxa"/>
          <w:bottom w:w="0" w:type="dxa"/>
          <w:right w:w="0" w:type="dxa"/>
        </w:tblCellMar>
      </w:tblPr>
      <w:tblGrid>
        <w:gridCol w:w="1680"/>
        <w:gridCol w:w="2310"/>
        <w:gridCol w:w="1140"/>
        <w:gridCol w:w="1080"/>
        <w:gridCol w:w="1050"/>
        <w:gridCol w:w="1095"/>
        <w:gridCol w:w="1425"/>
      </w:tblGrid>
      <w:tr>
        <w:tblPrEx>
          <w:shd w:val="clear" w:color="auto" w:fill="auto"/>
          <w:tblCellMar>
            <w:top w:w="0" w:type="dxa"/>
            <w:left w:w="0" w:type="dxa"/>
            <w:bottom w:w="0" w:type="dxa"/>
            <w:right w:w="0" w:type="dxa"/>
          </w:tblCellMar>
        </w:tblPrEx>
        <w:trPr>
          <w:trHeight w:val="300" w:hRule="atLeast"/>
        </w:trPr>
        <w:tc>
          <w:tcPr>
            <w:tcW w:w="858" w:type="pct"/>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both"/>
              <w:textAlignment w:val="center"/>
              <w:rPr>
                <w:rFonts w:hint="default" w:ascii="宋体" w:hAnsi="宋体" w:eastAsia="宋体" w:cs="宋体"/>
                <w:b/>
                <w:i w:val="0"/>
                <w:color w:val="000000"/>
                <w:kern w:val="0"/>
                <w:sz w:val="44"/>
                <w:szCs w:val="44"/>
                <w:u w:val="none"/>
                <w:lang w:val="en-US" w:eastAsia="zh-CN" w:bidi="ar"/>
              </w:rPr>
            </w:pPr>
            <w:r>
              <w:rPr>
                <w:rFonts w:hint="eastAsia" w:ascii="宋体" w:hAnsi="宋体" w:eastAsia="宋体" w:cs="宋体"/>
                <w:i w:val="0"/>
                <w:color w:val="000000"/>
                <w:kern w:val="0"/>
                <w:sz w:val="24"/>
                <w:szCs w:val="24"/>
                <w:u w:val="none"/>
                <w:lang w:val="en-US" w:eastAsia="zh-CN" w:bidi="ar"/>
              </w:rPr>
              <w:t>部门公开表</w:t>
            </w:r>
            <w:r>
              <w:rPr>
                <w:rFonts w:hint="eastAsia" w:ascii="宋体" w:hAnsi="宋体" w:cs="宋体"/>
                <w:i w:val="0"/>
                <w:color w:val="000000"/>
                <w:kern w:val="0"/>
                <w:sz w:val="24"/>
                <w:szCs w:val="24"/>
                <w:u w:val="none"/>
                <w:lang w:val="en-US" w:eastAsia="zh-CN" w:bidi="ar"/>
              </w:rPr>
              <w:t>7</w:t>
            </w:r>
          </w:p>
          <w:p>
            <w:pPr>
              <w:rPr>
                <w:rFonts w:hint="eastAsia" w:ascii="Calibri" w:hAnsi="Calibri" w:cs="Calibri"/>
                <w:i w:val="0"/>
                <w:color w:val="000000"/>
                <w:sz w:val="22"/>
                <w:szCs w:val="22"/>
                <w:u w:val="none"/>
              </w:rPr>
            </w:pPr>
          </w:p>
        </w:tc>
        <w:tc>
          <w:tcPr>
            <w:tcW w:w="1180" w:type="pct"/>
            <w:tcBorders>
              <w:top w:val="nil"/>
              <w:left w:val="nil"/>
              <w:bottom w:val="nil"/>
              <w:right w:val="nil"/>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582" w:type="pct"/>
            <w:tcBorders>
              <w:top w:val="nil"/>
              <w:left w:val="nil"/>
              <w:bottom w:val="nil"/>
              <w:right w:val="nil"/>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552" w:type="pct"/>
            <w:tcBorders>
              <w:top w:val="nil"/>
              <w:left w:val="nil"/>
              <w:bottom w:val="nil"/>
              <w:right w:val="nil"/>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536" w:type="pct"/>
            <w:tcBorders>
              <w:top w:val="nil"/>
              <w:left w:val="nil"/>
              <w:bottom w:val="nil"/>
              <w:right w:val="nil"/>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559" w:type="pct"/>
            <w:tcBorders>
              <w:top w:val="nil"/>
              <w:left w:val="nil"/>
              <w:bottom w:val="nil"/>
              <w:right w:val="nil"/>
            </w:tcBorders>
            <w:shd w:val="clear" w:color="auto" w:fill="auto"/>
            <w:noWrap/>
            <w:tcMar>
              <w:top w:w="15" w:type="dxa"/>
              <w:left w:w="15" w:type="dxa"/>
              <w:right w:w="15" w:type="dxa"/>
            </w:tcMar>
            <w:vAlign w:val="bottom"/>
          </w:tcPr>
          <w:p>
            <w:pPr>
              <w:rPr>
                <w:rFonts w:hint="default" w:ascii="Calibri" w:hAnsi="Calibri" w:cs="Calibri"/>
                <w:i w:val="0"/>
                <w:color w:val="000000"/>
                <w:sz w:val="22"/>
                <w:szCs w:val="22"/>
                <w:u w:val="none"/>
              </w:rPr>
            </w:pPr>
          </w:p>
        </w:tc>
        <w:tc>
          <w:tcPr>
            <w:tcW w:w="728" w:type="pct"/>
            <w:tcBorders>
              <w:top w:val="nil"/>
              <w:left w:val="nil"/>
              <w:bottom w:val="nil"/>
              <w:right w:val="nil"/>
            </w:tcBorders>
            <w:shd w:val="clear" w:color="auto" w:fill="auto"/>
            <w:noWrap/>
            <w:tcMar>
              <w:top w:w="15" w:type="dxa"/>
              <w:left w:w="15" w:type="dxa"/>
              <w:right w:w="15" w:type="dxa"/>
            </w:tcMar>
            <w:vAlign w:val="bottom"/>
          </w:tcPr>
          <w:p>
            <w:pPr>
              <w:jc w:val="righ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00" w:hRule="atLeast"/>
        </w:trPr>
        <w:tc>
          <w:tcPr>
            <w:tcW w:w="5000" w:type="pct"/>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一般公共预算'三公'经费支出表</w:t>
            </w:r>
          </w:p>
        </w:tc>
      </w:tr>
      <w:tr>
        <w:tblPrEx>
          <w:tblCellMar>
            <w:top w:w="0" w:type="dxa"/>
            <w:left w:w="0" w:type="dxa"/>
            <w:bottom w:w="0" w:type="dxa"/>
            <w:right w:w="0" w:type="dxa"/>
          </w:tblCellMar>
        </w:tblPrEx>
        <w:trPr>
          <w:trHeight w:val="585" w:hRule="atLeast"/>
        </w:trPr>
        <w:tc>
          <w:tcPr>
            <w:tcW w:w="5000" w:type="pct"/>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填报单位:207景德镇市广播电视台 , 207001景德镇市广播电视台本级</w:t>
            </w:r>
            <w:r>
              <w:rPr>
                <w:rFonts w:hint="eastAsia" w:ascii="宋体" w:hAnsi="宋体" w:cs="宋体"/>
                <w:i w:val="0"/>
                <w:color w:val="000000"/>
                <w:kern w:val="0"/>
                <w:sz w:val="24"/>
                <w:szCs w:val="24"/>
                <w:u w:val="none"/>
                <w:lang w:val="en-US" w:eastAsia="zh-CN" w:bidi="ar"/>
              </w:rPr>
              <w:t xml:space="preserve">      </w:t>
            </w:r>
            <w:r>
              <w:rPr>
                <w:rFonts w:hint="eastAsia" w:ascii="宋体" w:hAnsi="宋体" w:cs="宋体"/>
                <w:i w:val="0"/>
                <w:color w:val="000000"/>
                <w:kern w:val="0"/>
                <w:sz w:val="24"/>
                <w:szCs w:val="24"/>
                <w:u w:val="none"/>
                <w:lang w:val="en-US" w:eastAsia="zh-CN" w:bidi="ar"/>
              </w:rPr>
              <w:tab/>
            </w:r>
            <w:r>
              <w:rPr>
                <w:rFonts w:hint="eastAsia" w:ascii="宋体" w:hAnsi="宋体" w:eastAsia="宋体" w:cs="宋体"/>
                <w:i w:val="0"/>
                <w:color w:val="000000"/>
                <w:kern w:val="0"/>
                <w:sz w:val="24"/>
                <w:szCs w:val="24"/>
                <w:u w:val="none"/>
                <w:lang w:val="en-US" w:eastAsia="zh-CN" w:bidi="ar"/>
              </w:rPr>
              <w:t>单位：万元</w:t>
            </w:r>
          </w:p>
        </w:tc>
      </w:tr>
      <w:tr>
        <w:tblPrEx>
          <w:tblCellMar>
            <w:top w:w="0" w:type="dxa"/>
            <w:left w:w="0" w:type="dxa"/>
            <w:bottom w:w="0" w:type="dxa"/>
            <w:right w:w="0" w:type="dxa"/>
          </w:tblCellMar>
        </w:tblPrEx>
        <w:trPr>
          <w:trHeight w:val="630" w:hRule="atLeast"/>
        </w:trPr>
        <w:tc>
          <w:tcPr>
            <w:tcW w:w="858"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单位编码</w:t>
            </w:r>
          </w:p>
        </w:tc>
        <w:tc>
          <w:tcPr>
            <w:tcW w:w="1180"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单位名称</w:t>
            </w:r>
          </w:p>
        </w:tc>
        <w:tc>
          <w:tcPr>
            <w:tcW w:w="582"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552" w:type="pct"/>
            <w:tcBorders>
              <w:top w:val="single" w:color="000000" w:sz="4" w:space="0"/>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因公出国(境)费</w:t>
            </w:r>
          </w:p>
        </w:tc>
        <w:tc>
          <w:tcPr>
            <w:tcW w:w="53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公务接待费</w:t>
            </w:r>
          </w:p>
        </w:tc>
        <w:tc>
          <w:tcPr>
            <w:tcW w:w="55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公务用车运行维护费</w:t>
            </w:r>
          </w:p>
        </w:tc>
        <w:tc>
          <w:tcPr>
            <w:tcW w:w="728"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公务用车购置</w:t>
            </w:r>
          </w:p>
        </w:tc>
      </w:tr>
      <w:tr>
        <w:tblPrEx>
          <w:tblCellMar>
            <w:top w:w="0" w:type="dxa"/>
            <w:left w:w="0" w:type="dxa"/>
            <w:bottom w:w="0" w:type="dxa"/>
            <w:right w:w="0" w:type="dxa"/>
          </w:tblCellMar>
        </w:tblPrEx>
        <w:trPr>
          <w:trHeight w:val="435" w:hRule="atLeast"/>
        </w:trPr>
        <w:tc>
          <w:tcPr>
            <w:tcW w:w="858" w:type="pct"/>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180" w:type="pct"/>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582" w:type="pct"/>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5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3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59"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728"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450" w:hRule="atLeast"/>
        </w:trPr>
        <w:tc>
          <w:tcPr>
            <w:tcW w:w="85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1180"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582"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10.13</w:t>
            </w:r>
          </w:p>
        </w:tc>
        <w:tc>
          <w:tcPr>
            <w:tcW w:w="552"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2.50</w:t>
            </w:r>
          </w:p>
        </w:tc>
        <w:tc>
          <w:tcPr>
            <w:tcW w:w="53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2.63</w:t>
            </w:r>
          </w:p>
        </w:tc>
        <w:tc>
          <w:tcPr>
            <w:tcW w:w="5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5.00</w:t>
            </w:r>
          </w:p>
        </w:tc>
        <w:tc>
          <w:tcPr>
            <w:tcW w:w="7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450" w:hRule="atLeast"/>
        </w:trPr>
        <w:tc>
          <w:tcPr>
            <w:tcW w:w="858"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207</w:t>
            </w:r>
          </w:p>
        </w:tc>
        <w:tc>
          <w:tcPr>
            <w:tcW w:w="1180"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景德镇市广播电视台</w:t>
            </w:r>
          </w:p>
        </w:tc>
        <w:tc>
          <w:tcPr>
            <w:tcW w:w="582"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10.13</w:t>
            </w:r>
          </w:p>
        </w:tc>
        <w:tc>
          <w:tcPr>
            <w:tcW w:w="552"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2.50</w:t>
            </w:r>
          </w:p>
        </w:tc>
        <w:tc>
          <w:tcPr>
            <w:tcW w:w="53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2.63</w:t>
            </w:r>
          </w:p>
        </w:tc>
        <w:tc>
          <w:tcPr>
            <w:tcW w:w="5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5.00</w:t>
            </w:r>
          </w:p>
        </w:tc>
        <w:tc>
          <w:tcPr>
            <w:tcW w:w="7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bl>
    <w:p>
      <w:pPr>
        <w:keepNext w:val="0"/>
        <w:keepLines w:val="0"/>
        <w:pageBreakBefore w:val="0"/>
        <w:kinsoku/>
        <w:wordWrap/>
        <w:overflowPunct/>
        <w:topLinePunct w:val="0"/>
        <w:autoSpaceDE/>
        <w:autoSpaceDN/>
        <w:bidi w:val="0"/>
        <w:adjustRightInd/>
        <w:snapToGrid/>
        <w:spacing w:line="240" w:lineRule="atLeast"/>
        <w:rPr>
          <w:rFonts w:hint="default" w:ascii="仿宋_GB2312" w:hAnsi="仿宋_GB2312" w:eastAsia="仿宋_GB2312" w:cs="仿宋_GB2312"/>
          <w:sz w:val="15"/>
          <w:szCs w:val="15"/>
          <w:lang w:val="en-US" w:eastAsia="zh-CN"/>
        </w:rPr>
      </w:pPr>
    </w:p>
    <w:p>
      <w:pPr>
        <w:keepNext w:val="0"/>
        <w:keepLines w:val="0"/>
        <w:pageBreakBefore w:val="0"/>
        <w:kinsoku/>
        <w:wordWrap/>
        <w:overflowPunct/>
        <w:topLinePunct w:val="0"/>
        <w:autoSpaceDE/>
        <w:autoSpaceDN/>
        <w:bidi w:val="0"/>
        <w:adjustRightInd/>
        <w:snapToGrid/>
        <w:spacing w:line="240" w:lineRule="atLeast"/>
        <w:rPr>
          <w:rFonts w:hint="default" w:ascii="仿宋_GB2312" w:hAnsi="仿宋_GB2312" w:eastAsia="仿宋_GB2312" w:cs="仿宋_GB2312"/>
          <w:sz w:val="15"/>
          <w:szCs w:val="15"/>
          <w:lang w:val="en-US" w:eastAsia="zh-CN"/>
        </w:rPr>
      </w:pPr>
    </w:p>
    <w:tbl>
      <w:tblPr>
        <w:tblStyle w:val="6"/>
        <w:tblW w:w="5902" w:type="pct"/>
        <w:tblInd w:w="-684" w:type="dxa"/>
        <w:shd w:val="clear" w:color="auto" w:fill="auto"/>
        <w:tblLayout w:type="fixed"/>
        <w:tblCellMar>
          <w:top w:w="0" w:type="dxa"/>
          <w:left w:w="0" w:type="dxa"/>
          <w:bottom w:w="0" w:type="dxa"/>
          <w:right w:w="0" w:type="dxa"/>
        </w:tblCellMar>
      </w:tblPr>
      <w:tblGrid>
        <w:gridCol w:w="2610"/>
        <w:gridCol w:w="2340"/>
        <w:gridCol w:w="1575"/>
        <w:gridCol w:w="1498"/>
        <w:gridCol w:w="1817"/>
      </w:tblGrid>
      <w:tr>
        <w:tblPrEx>
          <w:tblCellMar>
            <w:top w:w="0" w:type="dxa"/>
            <w:left w:w="0" w:type="dxa"/>
            <w:bottom w:w="0" w:type="dxa"/>
            <w:right w:w="0" w:type="dxa"/>
          </w:tblCellMar>
        </w:tblPrEx>
        <w:trPr>
          <w:trHeight w:val="420" w:hRule="atLeast"/>
        </w:trPr>
        <w:tc>
          <w:tcPr>
            <w:tcW w:w="1326"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p>
            <w:pPr>
              <w:rPr>
                <w:rFonts w:hint="eastAsia" w:ascii="宋体" w:hAnsi="宋体" w:eastAsia="宋体" w:cs="宋体"/>
                <w:i w:val="0"/>
                <w:color w:val="000000"/>
                <w:sz w:val="20"/>
                <w:szCs w:val="20"/>
                <w:u w:val="none"/>
              </w:rPr>
            </w:pPr>
          </w:p>
          <w:p>
            <w:pPr>
              <w:rPr>
                <w:rFonts w:hint="eastAsia" w:ascii="宋体" w:hAnsi="宋体" w:eastAsia="宋体" w:cs="宋体"/>
                <w:i w:val="0"/>
                <w:color w:val="000000"/>
                <w:sz w:val="20"/>
                <w:szCs w:val="20"/>
                <w:u w:val="none"/>
              </w:rPr>
            </w:pPr>
          </w:p>
          <w:p>
            <w:pPr>
              <w:rPr>
                <w:rFonts w:hint="eastAsia" w:ascii="宋体" w:hAnsi="宋体" w:eastAsia="宋体" w:cs="宋体"/>
                <w:i w:val="0"/>
                <w:color w:val="000000"/>
                <w:sz w:val="20"/>
                <w:szCs w:val="20"/>
                <w:u w:val="none"/>
              </w:rPr>
            </w:pPr>
          </w:p>
          <w:p>
            <w:pPr>
              <w:keepNext w:val="0"/>
              <w:keepLines w:val="0"/>
              <w:widowControl/>
              <w:suppressLineNumbers w:val="0"/>
              <w:jc w:val="both"/>
              <w:textAlignment w:val="center"/>
              <w:rPr>
                <w:rFonts w:hint="default" w:ascii="宋体" w:hAnsi="宋体" w:eastAsia="宋体" w:cs="宋体"/>
                <w:b/>
                <w:i w:val="0"/>
                <w:color w:val="000000"/>
                <w:kern w:val="0"/>
                <w:sz w:val="44"/>
                <w:szCs w:val="44"/>
                <w:u w:val="none"/>
                <w:lang w:val="en-US" w:eastAsia="zh-CN" w:bidi="ar"/>
              </w:rPr>
            </w:pPr>
            <w:r>
              <w:rPr>
                <w:rFonts w:hint="eastAsia" w:ascii="宋体" w:hAnsi="宋体" w:eastAsia="宋体" w:cs="宋体"/>
                <w:i w:val="0"/>
                <w:color w:val="000000"/>
                <w:kern w:val="0"/>
                <w:sz w:val="24"/>
                <w:szCs w:val="24"/>
                <w:u w:val="none"/>
                <w:lang w:val="en-US" w:eastAsia="zh-CN" w:bidi="ar"/>
              </w:rPr>
              <w:t>部门公开表</w:t>
            </w:r>
            <w:r>
              <w:rPr>
                <w:rFonts w:hint="eastAsia" w:ascii="宋体" w:hAnsi="宋体" w:cs="宋体"/>
                <w:i w:val="0"/>
                <w:color w:val="000000"/>
                <w:kern w:val="0"/>
                <w:sz w:val="24"/>
                <w:szCs w:val="24"/>
                <w:u w:val="none"/>
                <w:lang w:val="en-US" w:eastAsia="zh-CN" w:bidi="ar"/>
              </w:rPr>
              <w:t>8</w:t>
            </w:r>
          </w:p>
          <w:p>
            <w:pPr>
              <w:rPr>
                <w:rFonts w:hint="eastAsia" w:ascii="宋体" w:hAnsi="宋体" w:eastAsia="宋体" w:cs="宋体"/>
                <w:i w:val="0"/>
                <w:color w:val="000000"/>
                <w:sz w:val="20"/>
                <w:szCs w:val="20"/>
                <w:u w:val="none"/>
              </w:rPr>
            </w:pPr>
          </w:p>
        </w:tc>
        <w:tc>
          <w:tcPr>
            <w:tcW w:w="1189"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800"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761"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c>
          <w:tcPr>
            <w:tcW w:w="923" w:type="pct"/>
            <w:tcBorders>
              <w:top w:val="nil"/>
              <w:left w:val="nil"/>
              <w:bottom w:val="nil"/>
              <w:right w:val="nil"/>
            </w:tcBorders>
            <w:shd w:val="clear" w:color="auto" w:fill="auto"/>
            <w:noWrap/>
            <w:tcMar>
              <w:top w:w="15" w:type="dxa"/>
              <w:left w:w="15" w:type="dxa"/>
              <w:right w:w="15" w:type="dxa"/>
            </w:tcMar>
            <w:vAlign w:val="bottom"/>
          </w:tcPr>
          <w:p>
            <w:pP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5"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4"/>
                <w:szCs w:val="44"/>
                <w:u w:val="none"/>
              </w:rPr>
            </w:pPr>
            <w:r>
              <w:rPr>
                <w:rFonts w:hint="eastAsia" w:ascii="宋体" w:hAnsi="宋体" w:eastAsia="宋体" w:cs="宋体"/>
                <w:b/>
                <w:i w:val="0"/>
                <w:color w:val="000000"/>
                <w:kern w:val="0"/>
                <w:sz w:val="44"/>
                <w:szCs w:val="44"/>
                <w:u w:val="none"/>
                <w:lang w:val="en-US" w:eastAsia="zh-CN" w:bidi="ar"/>
              </w:rPr>
              <w:t>政府性基金预算支出表</w:t>
            </w:r>
          </w:p>
        </w:tc>
      </w:tr>
      <w:tr>
        <w:tblPrEx>
          <w:tblCellMar>
            <w:top w:w="0" w:type="dxa"/>
            <w:left w:w="0" w:type="dxa"/>
            <w:bottom w:w="0" w:type="dxa"/>
            <w:right w:w="0" w:type="dxa"/>
          </w:tblCellMar>
        </w:tblPrEx>
        <w:trPr>
          <w:trHeight w:val="420" w:hRule="atLeast"/>
        </w:trPr>
        <w:tc>
          <w:tcPr>
            <w:tcW w:w="5000" w:type="pct"/>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填报单位:207景德镇市广播电视台 , 207001景德镇市广播电视台本级</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单位：万元</w:t>
            </w:r>
          </w:p>
        </w:tc>
      </w:tr>
      <w:tr>
        <w:tblPrEx>
          <w:tblCellMar>
            <w:top w:w="0" w:type="dxa"/>
            <w:left w:w="0" w:type="dxa"/>
            <w:bottom w:w="0" w:type="dxa"/>
            <w:right w:w="0" w:type="dxa"/>
          </w:tblCellMar>
        </w:tblPrEx>
        <w:trPr>
          <w:trHeight w:val="345" w:hRule="atLeast"/>
        </w:trPr>
        <w:tc>
          <w:tcPr>
            <w:tcW w:w="2515"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支出功能分类科目</w:t>
            </w:r>
          </w:p>
        </w:tc>
        <w:tc>
          <w:tcPr>
            <w:tcW w:w="2484"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2020年预算数</w:t>
            </w:r>
          </w:p>
        </w:tc>
      </w:tr>
      <w:tr>
        <w:tblPrEx>
          <w:tblCellMar>
            <w:top w:w="0" w:type="dxa"/>
            <w:left w:w="0" w:type="dxa"/>
            <w:bottom w:w="0" w:type="dxa"/>
            <w:right w:w="0" w:type="dxa"/>
          </w:tblCellMar>
        </w:tblPrEx>
        <w:trPr>
          <w:trHeight w:val="420" w:hRule="atLeast"/>
        </w:trPr>
        <w:tc>
          <w:tcPr>
            <w:tcW w:w="132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科目编码</w:t>
            </w:r>
          </w:p>
        </w:tc>
        <w:tc>
          <w:tcPr>
            <w:tcW w:w="1189" w:type="pct"/>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科目名称 </w:t>
            </w:r>
          </w:p>
        </w:tc>
        <w:tc>
          <w:tcPr>
            <w:tcW w:w="800"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761"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基本支出</w:t>
            </w:r>
          </w:p>
        </w:tc>
        <w:tc>
          <w:tcPr>
            <w:tcW w:w="923" w:type="pct"/>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CellMar>
            <w:top w:w="0" w:type="dxa"/>
            <w:left w:w="0" w:type="dxa"/>
            <w:bottom w:w="0" w:type="dxa"/>
            <w:right w:w="0" w:type="dxa"/>
          </w:tblCellMar>
        </w:tblPrEx>
        <w:trPr>
          <w:trHeight w:val="420" w:hRule="atLeast"/>
        </w:trPr>
        <w:tc>
          <w:tcPr>
            <w:tcW w:w="1326"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189" w:type="pc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800"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761"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923" w:type="pct"/>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CellMar>
            <w:top w:w="0" w:type="dxa"/>
            <w:left w:w="0" w:type="dxa"/>
            <w:bottom w:w="0" w:type="dxa"/>
            <w:right w:w="0" w:type="dxa"/>
          </w:tblCellMar>
        </w:tblPrEx>
        <w:trPr>
          <w:trHeight w:val="375" w:hRule="atLeast"/>
        </w:trPr>
        <w:tc>
          <w:tcPr>
            <w:tcW w:w="1326"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1189"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c>
          <w:tcPr>
            <w:tcW w:w="8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76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c>
          <w:tcPr>
            <w:tcW w:w="92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4"/>
                <w:szCs w:val="24"/>
                <w:u w:val="none"/>
              </w:rPr>
            </w:pPr>
          </w:p>
        </w:tc>
      </w:tr>
    </w:tbl>
    <w:p>
      <w:pPr>
        <w:keepNext w:val="0"/>
        <w:keepLines w:val="0"/>
        <w:pageBreakBefore w:val="0"/>
        <w:kinsoku/>
        <w:wordWrap/>
        <w:overflowPunct/>
        <w:topLinePunct w:val="0"/>
        <w:autoSpaceDE/>
        <w:autoSpaceDN/>
        <w:bidi w:val="0"/>
        <w:adjustRightInd/>
        <w:snapToGrid/>
        <w:spacing w:line="240" w:lineRule="atLeast"/>
        <w:rPr>
          <w:rFonts w:hint="default" w:ascii="仿宋_GB2312" w:hAnsi="仿宋_GB2312" w:eastAsia="仿宋_GB2312" w:cs="仿宋_GB2312"/>
          <w:sz w:val="15"/>
          <w:szCs w:val="15"/>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A0204"/>
    <w:charset w:val="00"/>
    <w:family w:val="roman"/>
    <w:pitch w:val="default"/>
    <w:sig w:usb0="E00002FF" w:usb1="4000045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9C07E5"/>
    <w:multiLevelType w:val="multilevel"/>
    <w:tmpl w:val="589C07E5"/>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CC2141"/>
    <w:rsid w:val="08D1606D"/>
    <w:rsid w:val="08EE0B31"/>
    <w:rsid w:val="0A326819"/>
    <w:rsid w:val="0CBF216E"/>
    <w:rsid w:val="0CDD6174"/>
    <w:rsid w:val="0FCB58D0"/>
    <w:rsid w:val="11427CB1"/>
    <w:rsid w:val="139E3D52"/>
    <w:rsid w:val="162B4B72"/>
    <w:rsid w:val="18AC060B"/>
    <w:rsid w:val="19076E1D"/>
    <w:rsid w:val="1EBD751D"/>
    <w:rsid w:val="1F117155"/>
    <w:rsid w:val="204B45CE"/>
    <w:rsid w:val="25705B71"/>
    <w:rsid w:val="27526997"/>
    <w:rsid w:val="2A9D1BCE"/>
    <w:rsid w:val="2D4F2EA5"/>
    <w:rsid w:val="2DBB222D"/>
    <w:rsid w:val="31D40AAE"/>
    <w:rsid w:val="3B717DB5"/>
    <w:rsid w:val="3BD871B8"/>
    <w:rsid w:val="3CF55A87"/>
    <w:rsid w:val="3E1A49F9"/>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 w:type="character" w:customStyle="1" w:styleId="11">
    <w:name w:val="font01"/>
    <w:basedOn w:val="7"/>
    <w:qFormat/>
    <w:uiPriority w:val="0"/>
    <w:rPr>
      <w:rFonts w:hint="eastAsia" w:ascii="宋体" w:hAnsi="宋体" w:eastAsia="宋体" w:cs="宋体"/>
      <w:color w:val="000000"/>
      <w:sz w:val="18"/>
      <w:szCs w:val="18"/>
      <w:u w:val="none"/>
    </w:rPr>
  </w:style>
  <w:style w:type="character" w:customStyle="1" w:styleId="12">
    <w:name w:val="font21"/>
    <w:basedOn w:val="7"/>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dcterms:modified xsi:type="dcterms:W3CDTF">2020-06-03T09:07:51Z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